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RFT Detailing Spec (v1)</w:t>
      </w:r>
    </w:p>
    <w:bookmarkStart w:id="36" w:name="Xc906d58e9de2a240babacaf65c4186a23062f7d"/>
    <w:p>
      <w:pPr>
        <w:pStyle w:val="Heading1"/>
      </w:pPr>
      <w:r>
        <w:t xml:space="preserve">Column RFT Detailing Spec (v1 — Single Floor-to-Floor Segment)</w:t>
      </w:r>
    </w:p>
    <w:p>
      <w:pPr>
        <w:pStyle w:val="FirstParagraph"/>
      </w:pPr>
      <w:r>
        <w:t xml:space="preserve">Status: LOCKED — scope, detailing rules, and citations are final. This</w:t>
      </w:r>
      <w:r>
        <w:t xml:space="preserve"> </w:t>
      </w:r>
      <w:r>
        <w:t xml:space="preserve">document authorizes exactly one next step: the API tracer bullet in §11.</w:t>
      </w:r>
      <w:r>
        <w:t xml:space="preserve"> </w:t>
      </w:r>
      <w:r>
        <w:t xml:space="preserve">No core module code or UI work is started by this document.</w:t>
      </w:r>
    </w:p>
    <w:p>
      <w:pPr>
        <w:pStyle w:val="BodyText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beam-rft-detailing.md</w:t>
      </w:r>
      <w:r>
        <w:t xml:space="preserve">. Written the same way: every rule cites</w:t>
      </w:r>
      <w:r>
        <w:t xml:space="preserve"> </w:t>
      </w:r>
      <w:r>
        <w:t xml:space="preserve">its source, every open question is answered in writing rather than left to be</w:t>
      </w:r>
      <w:r>
        <w:t xml:space="preserve"> </w:t>
      </w:r>
      <w:r>
        <w:t xml:space="preserve">guessed at build time, and every deliberate deviation from code is named as</w:t>
      </w:r>
      <w:r>
        <w:t xml:space="preserve"> </w:t>
      </w:r>
      <w:r>
        <w:t xml:space="preserve">an exception rather than left silent.</w:t>
      </w:r>
    </w:p>
    <w:p>
      <w:r>
        <w:pict>
          <v:rect style="width:0;height:1.5pt" o:hralign="center" o:hrstd="t" o:hr="t"/>
        </w:pict>
      </w:r>
    </w:p>
    <w:bookmarkStart w:id="20" w:name="scope"/>
    <w:p>
      <w:pPr>
        <w:pStyle w:val="Heading2"/>
      </w:pPr>
      <w:r>
        <w:t xml:space="preserve">0.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detailing the longitudinal bars and transverse reinforcement</w:t>
      </w:r>
      <w:r>
        <w:t xml:space="preserve"> </w:t>
      </w:r>
      <w:r>
        <w:t xml:space="preserve">(ties/stirrups + cross-ties) of ONE column segment, floor-to-floor, for a</w:t>
      </w:r>
      <w:r>
        <w:t xml:space="preserve"> </w:t>
      </w:r>
      <w:r>
        <w:t xml:space="preserve">single rectangular column of user-input dimensions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x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Out of scope, explicitly (not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later,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named as cut now):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 — Foundation starter bars / dowels.</w:t>
      </w:r>
      <w:r>
        <w:t xml:space="preserve"> </w:t>
      </w:r>
      <w:r>
        <w:t xml:space="preserve">Bars protruding from a footing</w:t>
      </w:r>
      <w:r>
        <w:t xml:space="preserve"> </w:t>
      </w:r>
      <w:r>
        <w:t xml:space="preserve">into the base of a ground-floor column are out of scope. A separate</w:t>
      </w:r>
      <w:r>
        <w:t xml:space="preserve"> </w:t>
      </w:r>
      <w:r>
        <w:t xml:space="preserve">footing tool will own that connection. This tool’s bottom boundary is</w:t>
      </w:r>
      <w:r>
        <w:t xml:space="preserve"> </w:t>
      </w:r>
      <w:r>
        <w:t xml:space="preserve">“</w:t>
      </w:r>
      <w:r>
        <w:t xml:space="preserve">continues the bar from the segment below</w:t>
      </w:r>
      <w:r>
        <w:t xml:space="preserve">”</w:t>
      </w:r>
      <w:r>
        <w:t xml:space="preserve"> </w:t>
      </w:r>
      <w:r>
        <w:t xml:space="preserve">(see §6), never</w:t>
      </w:r>
      <w:r>
        <w:t xml:space="preserve"> </w:t>
      </w:r>
      <w:r>
        <w:t xml:space="preserve">“</w:t>
      </w:r>
      <w:r>
        <w:t xml:space="preserve">starts from a</w:t>
      </w:r>
      <w:r>
        <w:t xml:space="preserve"> </w:t>
      </w:r>
      <w:r>
        <w:t xml:space="preserve">footing.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 — Multi-story continuity beyond one splice.</w:t>
      </w:r>
      <w:r>
        <w:t xml:space="preserve"> </w:t>
      </w:r>
      <w:r>
        <w:t xml:space="preserve">This tool details</w:t>
      </w:r>
      <w:r>
        <w:t xml:space="preserve"> </w:t>
      </w:r>
      <w:r>
        <w:t xml:space="preserve">exactly one floor-to-floor segment and its top-of-support splice</w:t>
      </w:r>
      <w:r>
        <w:t xml:space="preserve"> </w:t>
      </w:r>
      <w:r>
        <w:t xml:space="preserve">protrusion into the segment above (§6). It does not model a full-height</w:t>
      </w:r>
      <w:r>
        <w:t xml:space="preserve"> </w:t>
      </w:r>
      <w:r>
        <w:t xml:space="preserve">column stack across multiple stories in one run.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 — Non-rectangular columns.</w:t>
      </w:r>
      <w:r>
        <w:t xml:space="preserve"> </w:t>
      </w:r>
      <w:r>
        <w:t xml:space="preserve">Circular, L-shaped, or other</w:t>
      </w:r>
      <w:r>
        <w:t xml:space="preserve"> </w:t>
      </w:r>
      <w:r>
        <w:t xml:space="preserve">cross-sections are out of scope for v1.</w:t>
      </w:r>
    </w:p>
    <w:p>
      <w:r>
        <w:pict>
          <v:rect style="width:0;height:1.5pt" o:hralign="center" o:hrstd="t" o:hr="t"/>
        </w:pict>
      </w:r>
    </w:p>
    <w:bookmarkEnd w:id="20"/>
    <w:bookmarkStart w:id="21" w:name="inputs-user-provided-never-invented"/>
    <w:p>
      <w:pPr>
        <w:pStyle w:val="Heading2"/>
      </w:pPr>
      <w:r>
        <w:t xml:space="preserve">1. Inputs (user-provided, never invented)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cross-section dimensions.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height of the column segment (support face to support face).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Longitudinal bar type, count per face, corner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 and fy read from the selected</w:t>
            </w:r>
            <w:r>
              <w:t xml:space="preserve"> </w:t>
            </w:r>
            <w:r>
              <w:rPr>
                <w:rStyle w:val="VerbatimChar"/>
              </w:rPr>
              <w:t xml:space="preserve">RebarBarType</w:t>
            </w:r>
            <w:r>
              <w:t xml:space="preserve">, same convention as beam’s</w:t>
            </w:r>
            <w:r>
              <w:t xml:space="preserve"> </w:t>
            </w:r>
            <w:r>
              <w:rPr>
                <w:rStyle w:val="VerbatimChar"/>
              </w:rPr>
              <w:t xml:space="preserve">role_picker_label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Tie/stirrup bar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 and fy, user-selected.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to ties/stirrups. Assumed 25 mm as a starting default per the</w:t>
            </w:r>
          </w:p>
        </w:tc>
      </w:tr>
    </w:tbl>
    <w:p>
      <w:pPr>
        <w:pStyle w:val="BodyText"/>
      </w:pPr>
      <w:r>
        <w:t xml:space="preserve">original sketch, but must remain an editable input, not a hardcoded</w:t>
      </w:r>
      <w:r>
        <w:t xml:space="preserve"> </w:t>
      </w:r>
      <w:r>
        <w:t xml:space="preserve">constant — same discipline as the beam tool’s per-face cover reads.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Main outer tie hook type</w:t>
      </w:r>
      <w:r>
        <w:t xml:space="preserve"> </w:t>
      </w:r>
      <w:r>
        <w:t xml:space="preserve">| User-selected dropdown, populated from</w:t>
      </w:r>
      <w:r>
        <w:t xml:space="preserve"> </w:t>
      </w:r>
      <w:r>
        <w:t xml:space="preserve">available</w:t>
      </w:r>
      <w:r>
        <w:t xml:space="preserve"> </w:t>
      </w:r>
      <w:r>
        <w:rPr>
          <w:rStyle w:val="VerbatimChar"/>
        </w:rPr>
        <w:t xml:space="preserve">RebarHookType</w:t>
      </w:r>
      <w:r>
        <w:t xml:space="preserve">s in the project, default 135° (§7).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Inner tie hook type</w:t>
      </w:r>
      <w:r>
        <w:t xml:space="preserve"> </w:t>
      </w:r>
      <w:r>
        <w:t xml:space="preserve">| A SEPARATE, independently user-selected</w:t>
      </w:r>
      <w:r>
        <w:t xml:space="preserve"> </w:t>
      </w:r>
      <w:r>
        <w:t xml:space="preserve">dropdown from the main outer tie hook, default 135° (§7).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Spacing mode</w:t>
      </w:r>
      <w:r>
        <w:t xml:space="preserve"> </w:t>
      </w:r>
      <w:r>
        <w:t xml:space="preserve">| Toggle: Mode A (Auto-Calculate) or Mode B (Manual</w:t>
      </w:r>
      <w:r>
        <w:t xml:space="preserve"> </w:t>
      </w:r>
      <w:r>
        <w:t xml:space="preserve">Override) — see §8.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L_s</w:t>
      </w:r>
      <w:r>
        <w:t xml:space="preserve"> </w:t>
      </w:r>
      <w:r>
        <w:t xml:space="preserve">(splice length) | Raw user input (value or diameter multiplier).</w:t>
      </w:r>
      <w:r>
        <w:t xml:space="preserve"> </w:t>
      </w:r>
      <w:r>
        <w:t xml:space="preserve">NEVER auto-calculated by the tool (§6). |</w:t>
      </w:r>
    </w:p>
    <w:p>
      <w:r>
        <w:pict>
          <v:rect style="width:0;height:1.5pt" o:hralign="center" o:hrstd="t" o:hr="t"/>
        </w:pict>
      </w:r>
    </w:p>
    <w:bookmarkEnd w:id="21"/>
    <w:bookmarkStart w:id="22" w:name="data-model-perimeter-layout-c9"/>
    <w:p>
      <w:pPr>
        <w:pStyle w:val="Heading2"/>
      </w:pPr>
      <w:r>
        <w:t xml:space="preserve">2. Data model: Perimeter Layout (C9)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column’s longitudinal bar layout is modeled as ONE</w:t>
      </w:r>
      <w:r>
        <w:t xml:space="preserve"> </w:t>
      </w:r>
      <w:r>
        <w:t xml:space="preserve">continuous perimeter arrangement (corner bars + intermediate bars per side),</w:t>
      </w:r>
      <w:r>
        <w:t xml:space="preserve"> </w:t>
      </w:r>
      <w:r>
        <w:t xml:space="preserve">not as independent faces.</w:t>
      </w:r>
    </w:p>
    <w:p>
      <w:pPr>
        <w:pStyle w:val="BodyText"/>
      </w:pPr>
      <w:r>
        <w:t xml:space="preserve">This is a deliberate departure from the beam tool’s</w:t>
      </w:r>
      <w:r>
        <w:t xml:space="preserve"> </w:t>
      </w:r>
      <w:r>
        <w:rPr>
          <w:rStyle w:val="VerbatimChar"/>
        </w:rPr>
        <w:t xml:space="preserve">FacePlan</w:t>
      </w:r>
      <w:r>
        <w:t xml:space="preserve">/</w:t>
      </w:r>
      <w:r>
        <w:rPr>
          <w:rStyle w:val="VerbatimChar"/>
        </w:rPr>
        <w:t xml:space="preserve">LayerPlan</w:t>
      </w:r>
      <w:r>
        <w:t xml:space="preserve"> </w:t>
      </w:r>
      <w:r>
        <w:t xml:space="preserve">model. A beam’s two faces (top/bottom) are genuinely independent — different</w:t>
      </w:r>
      <w:r>
        <w:t xml:space="preserve"> </w:t>
      </w:r>
      <w:r>
        <w:t xml:space="preserve">bar counts, different layer counts, different anchorage per face. A column’s</w:t>
      </w:r>
      <w:r>
        <w:t xml:space="preserve"> </w:t>
      </w:r>
      <w:r>
        <w:t xml:space="preserve">longitudinal bars, ties, confinement zone, and splice rule all act on ONE</w:t>
      </w:r>
      <w:r>
        <w:t xml:space="preserve"> </w:t>
      </w:r>
      <w:r>
        <w:t xml:space="preserve">system around the full perimeter at once. Force-fitting the beam’s</w:t>
      </w:r>
      <w:r>
        <w:t xml:space="preserve"> </w:t>
      </w:r>
      <w:r>
        <w:t xml:space="preserve">two-face model onto four column faces would misrepresent the geometry and</w:t>
      </w:r>
      <w:r>
        <w:t xml:space="preserve"> </w:t>
      </w:r>
      <w:r>
        <w:t xml:space="preserve">was rejected on that basis.</w:t>
      </w:r>
    </w:p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this warrants a new core module (working name</w:t>
      </w:r>
      <w:r>
        <w:t xml:space="preserve"> </w:t>
      </w:r>
      <w:r>
        <w:rPr>
          <w:rStyle w:val="VerbatimChar"/>
        </w:rPr>
        <w:t xml:space="preserve">rft.core.column_layout</w:t>
      </w:r>
      <w:r>
        <w:t xml:space="preserve">, final name TBD at implementation), not a re-skin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rft.core.layout</w:t>
      </w:r>
      <w:r>
        <w:t xml:space="preserve">. Do not assume beam’s per-face functions apply without</w:t>
      </w:r>
      <w:r>
        <w:t xml:space="preserve"> </w:t>
      </w:r>
      <w:r>
        <w:t xml:space="preserve">re-deriving them against the perimeter model.</w:t>
      </w:r>
    </w:p>
    <w:p>
      <w:pPr>
        <w:pStyle w:val="BodyText"/>
      </w:pPr>
      <w:r>
        <w:rPr>
          <w:bCs/>
          <w:b/>
        </w:rPr>
        <w:t xml:space="preserve">Governing dimension rule (C2, closes the original a/b question):</w:t>
      </w:r>
    </w:p>
    <w:p>
      <w:pPr>
        <w:pStyle w:val="BlockText"/>
      </w:pPr>
      <w:r>
        <w:t xml:space="preserve">Evaluate both cross-section dimensions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 The SMALLER dimension</w:t>
      </w:r>
      <w:r>
        <w:t xml:space="preserve"> </w:t>
      </w:r>
      <w:r>
        <w:t xml:space="preserve">governs</w:t>
      </w:r>
      <w:r>
        <w:t xml:space="preserve"> </w:t>
      </w:r>
      <w:r>
        <w:rPr>
          <w:rStyle w:val="VerbatimChar"/>
        </w:rPr>
        <w:t xml:space="preserve">S₀</w:t>
      </w:r>
      <w:r>
        <w:t xml:space="preserve">. The LARGER dimension governs</w:t>
      </w:r>
      <w:r>
        <w:t xml:space="preserve"> </w:t>
      </w:r>
      <w:r>
        <w:rPr>
          <w:rStyle w:val="VerbatimChar"/>
        </w:rPr>
        <w:t xml:space="preserve">L₀</w:t>
      </w:r>
      <w:r>
        <w:t xml:space="preserve">. Both governing values are</w:t>
      </w:r>
      <w:r>
        <w:t xml:space="preserve"> </w:t>
      </w:r>
      <w:r>
        <w:t xml:space="preserve">then applied uniformly to all four faces of the column — independent</w:t>
      </w:r>
      <w:r>
        <w:t xml:space="preserve"> </w:t>
      </w:r>
      <w:r>
        <w:t xml:space="preserve">per-axis values are explicitly rejected, by decision, in favor of one</w:t>
      </w:r>
      <w:r>
        <w:t xml:space="preserve"> </w:t>
      </w:r>
      <w:r>
        <w:t xml:space="preserve">governing value applied uniformly (standard construction practice, avoids</w:t>
      </w:r>
      <w:r>
        <w:t xml:space="preserve"> </w:t>
      </w:r>
      <w:r>
        <w:t xml:space="preserve">site errors).</w:t>
      </w:r>
    </w:p>
    <w:p>
      <w:r>
        <w:pict>
          <v:rect style="width:0;height:1.5pt" o:hralign="center" o:hrstd="t" o:hr="t"/>
        </w:pict>
      </w:r>
    </w:p>
    <w:bookmarkEnd w:id="22"/>
    <w:bookmarkStart w:id="23" w:name="confinement-zone-length-l₀"/>
    <w:p>
      <w:pPr>
        <w:pStyle w:val="Heading2"/>
      </w:pPr>
      <w:r>
        <w:t xml:space="preserve">3. Confinement zone length —</w:t>
      </w:r>
      <w:r>
        <w:t xml:space="preserve"> </w:t>
      </w:r>
      <w:r>
        <w:rPr>
          <w:rStyle w:val="VerbatimChar"/>
        </w:rPr>
        <w:t xml:space="preserve">L₀</w:t>
      </w:r>
    </w:p>
    <w:p>
      <w:pPr>
        <w:pStyle w:val="BlockText"/>
      </w:pPr>
      <w:r>
        <w:rPr>
          <w:rStyle w:val="VerbatimChar"/>
        </w:rPr>
        <w:t xml:space="preserve">L₀ = max(clear height / 6, larger cross-sectional dimension of the column, 500 mm)</w:t>
      </w:r>
      <w:r>
        <w:t xml:space="preserve">, measured from the face of the support.</w:t>
      </w:r>
    </w:p>
    <w:p>
      <w:pPr>
        <w:pStyle w:val="FirstParagraph"/>
      </w:pPr>
      <w:r>
        <w:t xml:space="preserve">Source: ECP 203, Chapter 8 — Seismic Detailing Provisions. See §12.</w:t>
      </w:r>
    </w:p>
    <w:p>
      <w:r>
        <w:pict>
          <v:rect style="width:0;height:1.5pt" o:hralign="center" o:hrstd="t" o:hr="t"/>
        </w:pict>
      </w:r>
    </w:p>
    <w:bookmarkEnd w:id="23"/>
    <w:bookmarkStart w:id="24" w:name="confinement-tie-spacing-s₀"/>
    <w:p>
      <w:pPr>
        <w:pStyle w:val="Heading2"/>
      </w:pPr>
      <w:r>
        <w:t xml:space="preserve">4. Confinement tie spacing —</w:t>
      </w:r>
      <w:r>
        <w:t xml:space="preserve"> </w:t>
      </w:r>
      <w:r>
        <w:rPr>
          <w:rStyle w:val="VerbatimChar"/>
        </w:rPr>
        <w:t xml:space="preserve">S₀</w:t>
      </w:r>
    </w:p>
    <w:p>
      <w:pPr>
        <w:pStyle w:val="BlockText"/>
      </w:pPr>
      <w:r>
        <w:rPr>
          <w:rStyle w:val="VerbatimChar"/>
        </w:rPr>
        <w:t xml:space="preserve">S₀</w:t>
      </w:r>
      <w:r>
        <w:t xml:space="preserve"> </w:t>
      </w:r>
      <w:r>
        <w:t xml:space="preserve">equals the smallest of:</w:t>
      </w:r>
      <w:r>
        <w:t xml:space="preserve"> </w:t>
      </w:r>
      <w:r>
        <w:t xml:space="preserve">1. 8 × diameter of smallest longitudinal bar</w:t>
      </w:r>
      <w:r>
        <w:t xml:space="preserve"> </w:t>
      </w:r>
      <w:r>
        <w:t xml:space="preserve">2. 24 × diameter of the tie</w:t>
      </w:r>
      <w:r>
        <w:t xml:space="preserve"> </w:t>
      </w:r>
      <w:r>
        <w:t xml:space="preserve">3. Half the SMALLER column cross-sectional dimension</w:t>
      </w:r>
      <w:r>
        <w:t xml:space="preserve"> </w:t>
      </w:r>
      <w:r>
        <w:t xml:space="preserve">4. 150 mm</w:t>
      </w:r>
    </w:p>
    <w:p>
      <w:pPr>
        <w:pStyle w:val="FirstParagraph"/>
      </w:pPr>
      <w:r>
        <w:t xml:space="preserve">Source: ECP 203, Chapter 8 — Seismic Detailing Provisions (originally</w:t>
      </w:r>
      <w:r>
        <w:t xml:space="preserve"> </w:t>
      </w:r>
      <w:r>
        <w:t xml:space="preserve">sketched from the manual notes as</w:t>
      </w:r>
      <w:r>
        <w:t xml:space="preserve"> </w:t>
      </w:r>
      <w:r>
        <w:t xml:space="preserve">“</w:t>
      </w:r>
      <w:r>
        <w:t xml:space="preserve">13-4-أ</w:t>
      </w:r>
      <w:r>
        <w:t xml:space="preserve">”</w:t>
      </w:r>
      <w:r>
        <w:t xml:space="preserve">, items 1-4). See §12.</w:t>
      </w:r>
    </w:p>
    <w:p>
      <w:pPr>
        <w:pStyle w:val="BodyText"/>
      </w:pPr>
      <w:r>
        <w:rPr>
          <w:bCs/>
          <w:b/>
        </w:rPr>
        <w:t xml:space="preserve">First tie placement (closes the inequality ambiguity):</w:t>
      </w:r>
    </w:p>
    <w:p>
      <w:pPr>
        <w:pStyle w:val="BlockText"/>
      </w:pPr>
      <w:r>
        <w:t xml:space="preserve">The first tie is placed at an EXACT offset of 50 mm from the face of the</w:t>
      </w:r>
      <w:r>
        <w:t xml:space="preserve"> </w:t>
      </w:r>
      <w:r>
        <w:t xml:space="preserve">support. This is a definitive placement instruction, replacing the code’s</w:t>
      </w:r>
      <w:r>
        <w:t xml:space="preserve"> </w:t>
      </w:r>
      <w:r>
        <w:t xml:space="preserve">“</w:t>
      </w:r>
      <w:r>
        <w:t xml:space="preserve">not exceeding S₀</w:t>
      </w:r>
      <w:r>
        <w:t xml:space="preserve">”</w:t>
      </w:r>
      <w:r>
        <w:t xml:space="preserve"> </w:t>
      </w:r>
      <w:r>
        <w:t xml:space="preserve">language, which is a maximum and not by itself a</w:t>
      </w:r>
      <w:r>
        <w:t xml:space="preserve"> </w:t>
      </w:r>
      <w:r>
        <w:t xml:space="preserve">placeable position.</w:t>
      </w:r>
    </w:p>
    <w:p>
      <w:r>
        <w:pict>
          <v:rect style="width:0;height:1.5pt" o:hralign="center" o:hrstd="t" o:hr="t"/>
        </w:pict>
      </w:r>
    </w:p>
    <w:bookmarkEnd w:id="24"/>
    <w:bookmarkStart w:id="25" w:name="middle-zone-spacing"/>
    <w:p>
      <w:pPr>
        <w:pStyle w:val="Heading2"/>
      </w:pPr>
      <w:r>
        <w:t xml:space="preserve">5. Middle-zone spacing</w:t>
      </w:r>
    </w:p>
    <w:p>
      <w:pPr>
        <w:pStyle w:val="BlockText"/>
      </w:pPr>
      <w:r>
        <w:t xml:space="preserve">Outside</w:t>
      </w:r>
      <w:r>
        <w:t xml:space="preserve"> </w:t>
      </w:r>
      <w:r>
        <w:rPr>
          <w:rStyle w:val="VerbatimChar"/>
        </w:rPr>
        <w:t xml:space="preserve">L₀</w:t>
      </w:r>
      <w:r>
        <w:t xml:space="preserve">, transverse reinforcement spacing shall not exceed</w:t>
      </w:r>
      <w:r>
        <w:t xml:space="preserve"> </w:t>
      </w:r>
      <w:r>
        <w:rPr>
          <w:rStyle w:val="VerbatimChar"/>
        </w:rPr>
        <w:t xml:space="preserve">2 × S₀</w:t>
      </w:r>
      <w:r>
        <w:t xml:space="preserve">.</w:t>
      </w:r>
    </w:p>
    <w:p>
      <w:pPr>
        <w:pStyle w:val="FirstParagraph"/>
      </w:pPr>
      <w:r>
        <w:t xml:space="preserve">This closes what was originally sketched as a bare</w:t>
      </w:r>
      <w:r>
        <w:t xml:space="preserve"> </w:t>
      </w:r>
      <w:r>
        <w:t xml:space="preserve">“</w:t>
      </w:r>
      <w:r>
        <w:t xml:space="preserve">150mm</w:t>
      </w:r>
      <w:r>
        <w:t xml:space="preserve">”</w:t>
      </w:r>
      <w:r>
        <w:t xml:space="preserve"> </w:t>
      </w:r>
      <w:r>
        <w:t xml:space="preserve">figure — that</w:t>
      </w:r>
      <w:r>
        <w:t xml:space="preserve"> </w:t>
      </w:r>
      <w:r>
        <w:t xml:space="preserve">number belonged to a DIFFERENT rule (§6) and is not an independent cap on</w:t>
      </w:r>
      <w:r>
        <w:t xml:space="preserve"> </w:t>
      </w:r>
      <w:r>
        <w:t xml:space="preserve">middle-zone spacing.</w:t>
      </w:r>
    </w:p>
    <w:p>
      <w:r>
        <w:pict>
          <v:rect style="width:0;height:1.5pt" o:hralign="center" o:hrstd="t" o:hr="t"/>
        </w:pict>
      </w:r>
    </w:p>
    <w:bookmarkEnd w:id="25"/>
    <w:bookmarkStart w:id="29" w:name="X7f828599e25d7806b184df2b44d505b26343952"/>
    <w:p>
      <w:pPr>
        <w:pStyle w:val="Heading2"/>
      </w:pPr>
      <w:r>
        <w:t xml:space="preserve">6. Horizontal bar restraint &amp; inner tie geometry (C7 — IN SCOPE, AMENDED)</w:t>
      </w:r>
    </w:p>
    <w:p>
      <w:pPr>
        <w:pStyle w:val="FirstParagraph"/>
      </w:pPr>
      <w:r>
        <w:rPr>
          <w:bCs/>
          <w:b/>
        </w:rPr>
        <w:t xml:space="preserve">AMENDMENT to the original version of this section:</w:t>
      </w:r>
      <w:r>
        <w:t xml:space="preserve"> </w:t>
      </w:r>
      <w:r>
        <w:t xml:space="preserve">the original</w:t>
      </w:r>
      <w:r>
        <w:t xml:space="preserve"> </w:t>
      </w:r>
      <w:r>
        <w:t xml:space="preserve">simple</w:t>
      </w:r>
      <w:r>
        <w:t xml:space="preserve"> </w:t>
      </w:r>
      <w:r>
        <w:t xml:space="preserve">“</w:t>
      </w:r>
      <w:r>
        <w:t xml:space="preserve">1-leg cross-tie</w:t>
      </w:r>
      <w:r>
        <w:t xml:space="preserve">”</w:t>
      </w:r>
      <w:r>
        <w:t xml:space="preserve"> </w:t>
      </w:r>
      <w:r>
        <w:t xml:space="preserve">assumption is DELETED. ECP standard practice</w:t>
      </w:r>
      <w:r>
        <w:t xml:space="preserve"> </w:t>
      </w:r>
      <w:r>
        <w:t xml:space="preserve">predominantly restrains interior bars with OVERLAPPING CLOSED TIES (boxes</w:t>
      </w:r>
      <w:r>
        <w:t xml:space="preserve"> </w:t>
      </w:r>
      <w:r>
        <w:t xml:space="preserve">within boxes), not single-leg cross-ties. Everything below replaces the</w:t>
      </w:r>
      <w:r>
        <w:t xml:space="preserve"> </w:t>
      </w:r>
      <w:r>
        <w:t xml:space="preserve">earlier cross-tie language;</w:t>
      </w:r>
      <w:r>
        <w:t xml:space="preserve"> </w:t>
      </w:r>
      <w:r>
        <w:rPr>
          <w:rStyle w:val="VerbatimChar"/>
        </w:rPr>
        <w:t xml:space="preserve">rft.core.stirrups</w:t>
      </w:r>
      <w:r>
        <w:t xml:space="preserve">’ single-closed-rectangle</w:t>
      </w:r>
      <w:r>
        <w:t xml:space="preserve"> </w:t>
      </w:r>
      <w:r>
        <w:t xml:space="preserve">model is even further from what this section now requires than originally</w:t>
      </w:r>
      <w:r>
        <w:t xml:space="preserve"> </w:t>
      </w:r>
      <w:r>
        <w:t xml:space="preserve">scoped.</w:t>
      </w:r>
    </w:p>
    <w:bookmarkStart w:id="26" w:name="Xdc336e886514cf07672f9b27c481bf0a4e245c0"/>
    <w:p>
      <w:pPr>
        <w:pStyle w:val="Heading3"/>
      </w:pPr>
      <w:r>
        <w:t xml:space="preserve">6.1 Which bars need restraint (tiered spacing rule — UNCHANGED)</w:t>
      </w:r>
    </w:p>
    <w:p>
      <w:pPr>
        <w:pStyle w:val="FirstParagraph"/>
      </w:pPr>
      <w:r>
        <w:rPr>
          <w:bCs/>
          <w:b/>
        </w:rPr>
        <w:t xml:space="preserve">This folds and REPLACES the earlier loose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150mm horizontal spacing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note.</w:t>
      </w:r>
      <w:r>
        <w:t xml:space="preserve"> </w:t>
      </w:r>
      <w:r>
        <w:t xml:space="preserve">There is no separate hard 150mm cap sitting underneath this rule —</w:t>
      </w:r>
      <w:r>
        <w:t xml:space="preserve"> </w:t>
      </w:r>
      <w:r>
        <w:t xml:space="preserve">this tiered rule is the only horizontal-spacing provision in scope, and it</w:t>
      </w:r>
      <w:r>
        <w:t xml:space="preserve"> </w:t>
      </w:r>
      <w:r>
        <w:t xml:space="preserve">now governs which bars a tie’s SUBSET must enclose, not merely whether a</w:t>
      </w:r>
      <w:r>
        <w:t xml:space="preserve"> </w:t>
      </w:r>
      <w:r>
        <w:t xml:space="preserve">single-leg cross-tie exists.</w:t>
      </w:r>
    </w:p>
    <w:p>
      <w:pPr>
        <w:pStyle w:val="BlockText"/>
      </w:pPr>
      <w:r>
        <w:t xml:space="preserve">Evaluate the horizontal clear distance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between consecutive</w:t>
      </w:r>
      <w:r>
        <w:t xml:space="preserve"> </w:t>
      </w:r>
      <w:r>
        <w:t xml:space="preserve">longitudinal bars around the perimeter:</w:t>
      </w:r>
      <w:r>
        <w:t xml:space="preserve"> </w:t>
      </w:r>
      <w:r>
        <w:t xml:space="preserve">- Maximum distance between any two tie branches must not exceed</w:t>
      </w:r>
      <w:r>
        <w:t xml:space="preserve"> </w:t>
      </w:r>
      <w:r>
        <w:rPr>
          <w:bCs/>
          <w:b/>
        </w:rPr>
        <w:t xml:space="preserve">300 mm</w:t>
      </w:r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x ≤ 150 mm</w:t>
      </w:r>
      <w:r>
        <w:t xml:space="preserve">: alternate — tie one bar, leave one bar untied.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150 mm &lt; x ≤ 250 mm</w:t>
      </w:r>
      <w:r>
        <w:t xml:space="preserve">: every single bar must be tied (restrained by</w:t>
      </w:r>
      <w:r>
        <w:t xml:space="preserve"> </w:t>
      </w:r>
      <w:r>
        <w:t xml:space="preserve">a tie corner or an inner tie leg).</w:t>
      </w:r>
    </w:p>
    <w:p>
      <w:pPr>
        <w:pStyle w:val="FirstParagraph"/>
      </w:pPr>
      <w:r>
        <w:t xml:space="preserve">Source: Egyptian Detailing Guide (2001), Figure 13-3 (see §12).</w:t>
      </w:r>
    </w:p>
    <w:bookmarkEnd w:id="26"/>
    <w:bookmarkStart w:id="27" w:name="Xdf80c2c9c0981f2f9a9843ba24930e8c1684472"/>
    <w:p>
      <w:pPr>
        <w:pStyle w:val="Heading3"/>
      </w:pPr>
      <w:r>
        <w:t xml:space="preserve">6.2 Data model — subset-based closed loops (CADS Rebar logic)</w:t>
      </w:r>
    </w:p>
    <w:p>
      <w:pPr>
        <w:pStyle w:val="BlockText"/>
      </w:pPr>
      <w:r>
        <w:t xml:space="preserve">Internal ties are NOT modeled as single-leg cross-ties. The perimeter</w:t>
      </w:r>
      <w:r>
        <w:t xml:space="preserve"> </w:t>
      </w:r>
      <w:r>
        <w:t xml:space="preserve">layout module (</w:t>
      </w:r>
      <w:r>
        <w:rPr>
          <w:rStyle w:val="VerbatimChar"/>
        </w:rPr>
        <w:t xml:space="preserve">rft.core.column_layout</w:t>
      </w:r>
      <w:r>
        <w:t xml:space="preserve">, §2) must define each tie —</w:t>
      </w:r>
      <w:r>
        <w:t xml:space="preserve"> </w:t>
      </w:r>
      <w:r>
        <w:t xml:space="preserve">outer and inner alike — using SUBSET logic: an</w:t>
      </w:r>
      <w:r>
        <w:t xml:space="preserve"> </w:t>
      </w:r>
      <w:r>
        <w:rPr>
          <w:bCs/>
          <w:b/>
        </w:rPr>
        <w:t xml:space="preserve">initial bar index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number of tied bars it encloses</w:t>
      </w:r>
      <w:r>
        <w:t xml:space="preserve">, in a given direction (matching</w:t>
      </w:r>
      <w:r>
        <w:t xml:space="preserve"> </w:t>
      </w:r>
      <w:r>
        <w:t xml:space="preserve">the convention used by CADS Rebar Extensions). The module generates</w:t>
      </w:r>
      <w:r>
        <w:t xml:space="preserve"> </w:t>
      </w:r>
      <w:r>
        <w:t xml:space="preserve">CLOSED RECTANGULAR LOOPS around the specified bar range, not open lines.</w:t>
      </w:r>
    </w:p>
    <w:p>
      <w:pPr>
        <w:pStyle w:val="BlockText"/>
      </w:pPr>
      <w:r>
        <w:t xml:space="preserve">Example: Tie 1 wraps the full outer perimeter (all bars). Tie 2 wraps</w:t>
      </w:r>
      <w:r>
        <w:t xml:space="preserve"> </w:t>
      </w:r>
      <w:r>
        <w:t xml:space="preserve">only the intermediate bars on the North and South faces. A column’s full</w:t>
      </w:r>
      <w:r>
        <w:t xml:space="preserve"> </w:t>
      </w:r>
      <w:r>
        <w:t xml:space="preserve">tie set is the union of one or more such closed, possibly overlapping,</w:t>
      </w:r>
      <w:r>
        <w:t xml:space="preserve"> </w:t>
      </w:r>
      <w:r>
        <w:t xml:space="preserve">loops — never a mix of</w:t>
      </w:r>
      <w:r>
        <w:t xml:space="preserve"> </w:t>
      </w:r>
      <w:r>
        <w:t xml:space="preserve">“</w:t>
      </w:r>
      <w:r>
        <w:t xml:space="preserve">the main tie</w:t>
      </w:r>
      <w:r>
        <w:t xml:space="preserve">”</w:t>
      </w:r>
      <w:r>
        <w:t xml:space="preserve"> </w:t>
      </w:r>
      <w:r>
        <w:t xml:space="preserve">plus separate free-floating</w:t>
      </w:r>
      <w:r>
        <w:t xml:space="preserve"> </w:t>
      </w:r>
      <w:r>
        <w:t xml:space="preserve">cross-tie legs.</w:t>
      </w:r>
    </w:p>
    <w:p>
      <w:pPr>
        <w:pStyle w:val="FirstParagraph"/>
      </w:pPr>
      <w:r>
        <w:rPr>
          <w:bCs/>
          <w:b/>
        </w:rPr>
        <w:t xml:space="preserve">Open item, not yet decided — flagged rather than assumed:</w:t>
      </w:r>
      <w:r>
        <w:t xml:space="preserve"> </w:t>
      </w:r>
      <w:r>
        <w:t xml:space="preserve">is the</w:t>
      </w:r>
      <w:r>
        <w:t xml:space="preserve"> </w:t>
      </w:r>
      <w:r>
        <w:t xml:space="preserve">subset assignment (which ties enclose which bar ranges, i.e. the column’s</w:t>
      </w:r>
      <w:r>
        <w:t xml:space="preserve"> </w:t>
      </w:r>
      <w:r>
        <w:t xml:space="preserve">tie TOPOLOGY) derived automatically from §6.1’s tiered rule for a given</w:t>
      </w:r>
      <w:r>
        <w:t xml:space="preserve"> </w:t>
      </w:r>
      <w:r>
        <w:t xml:space="preserve">bar layout, or does the tool ask the user to pick/confirm a topology</w:t>
      </w:r>
      <w:r>
        <w:t xml:space="preserve"> </w:t>
      </w:r>
      <w:r>
        <w:t xml:space="preserve">(e.g. select one of Figure 13-3’s typical sections)? Auto-deriving a</w:t>
      </w:r>
      <w:r>
        <w:t xml:space="preserve"> </w:t>
      </w:r>
      <w:r>
        <w:t xml:space="preserve">closed-loop topology from a spacing rule alone is a non-trivial geometry</w:t>
      </w:r>
      <w:r>
        <w:t xml:space="preserve"> </w:t>
      </w:r>
      <w:r>
        <w:t xml:space="preserve">problem; deferring this to the tracer bullet / early implementation</w:t>
      </w:r>
      <w:r>
        <w:t xml:space="preserve"> </w:t>
      </w:r>
      <w:r>
        <w:t xml:space="preserve">spike (§11) rather than guessing now.</w:t>
      </w:r>
    </w:p>
    <w:bookmarkEnd w:id="27"/>
    <w:bookmarkStart w:id="28" w:name="X3f8f8732efea6a678c613f787cd4863e2d28fc7"/>
    <w:p>
      <w:pPr>
        <w:pStyle w:val="Heading3"/>
      </w:pPr>
      <w:r>
        <w:t xml:space="preserve">6.3 Hook corner alternation (NEW rule — do not confuse with §6.1’s</w:t>
      </w:r>
    </w:p>
    <w:p>
      <w:pPr>
        <w:pStyle w:val="SourceCode"/>
      </w:pPr>
      <w:r>
        <w:rPr>
          <w:rStyle w:val="VerbatimChar"/>
        </w:rPr>
        <w:t xml:space="preserve"> static bar-membership rule)</w:t>
      </w:r>
    </w:p>
    <w:p>
      <w:pPr>
        <w:pStyle w:val="BlockText"/>
      </w:pPr>
      <w:r>
        <w:t xml:space="preserve">To avoid a vertical plane of weakness under compressive load, the HOOK</w:t>
      </w:r>
      <w:r>
        <w:t xml:space="preserve"> </w:t>
      </w:r>
      <w:r>
        <w:t xml:space="preserve">CORNER of any closed tie (outer or inner) must alternate at each</w:t>
      </w:r>
      <w:r>
        <w:t xml:space="preserve"> </w:t>
      </w:r>
      <w:r>
        <w:t xml:space="preserve">spacing level, vertically. If a rectangular tie’s hook sits at the</w:t>
      </w:r>
      <w:r>
        <w:t xml:space="preserve"> </w:t>
      </w:r>
      <w:r>
        <w:t xml:space="preserve">North-East corner at level</w:t>
      </w:r>
      <w:r>
        <w:t xml:space="preserve"> </w:t>
      </w:r>
      <w:r>
        <w:rPr>
          <w:rStyle w:val="VerbatimChar"/>
        </w:rPr>
        <w:t xml:space="preserve">n</w:t>
      </w:r>
      <w:r>
        <w:t xml:space="preserve">, it must rotate to a DIFFERENT corner</w:t>
      </w:r>
      <w:r>
        <w:t xml:space="preserve"> </w:t>
      </w:r>
      <w:r>
        <w:t xml:space="preserve">(e.g. North-West) at level</w:t>
      </w:r>
      <w:r>
        <w:t xml:space="preserve"> </w:t>
      </w:r>
      <w:r>
        <w:rPr>
          <w:rStyle w:val="VerbatimChar"/>
        </w:rPr>
        <w:t xml:space="preserve">n+1</w:t>
      </w:r>
      <w:r>
        <w:t xml:space="preserve">. This is built into the vertical array</w:t>
      </w:r>
      <w:r>
        <w:t xml:space="preserve"> </w:t>
      </w:r>
      <w:r>
        <w:t xml:space="preserve">loop, not a one-time placement decision.</w:t>
      </w:r>
    </w:p>
    <w:p>
      <w:pPr>
        <w:pStyle w:val="FirstParagraph"/>
      </w:pPr>
      <w:r>
        <w:rPr>
          <w:bCs/>
          <w:b/>
        </w:rPr>
        <w:t xml:space="preserve">This is explicitly a DIFFERENT property from §6.1’s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 pattern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rule, and the two must not be conflated: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alternates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Vertically?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(bar membership)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bars are enclosed by a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fixed once, applied at every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§6.3 (hook rotation)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CORNER the tie’s hook sits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rotates at every level, by design</w:t>
            </w:r>
          </w:p>
        </w:tc>
      </w:tr>
    </w:tbl>
    <w:p>
      <w:pPr>
        <w:pStyle w:val="BodyText"/>
      </w:pPr>
      <w:r>
        <w:t xml:space="preserve">Both rules govern the same tie objects; they are not in tension with each</w:t>
      </w:r>
      <w:r>
        <w:t xml:space="preserve"> </w:t>
      </w:r>
      <w:r>
        <w:t xml:space="preserve">other, but a future reader skimming for</w:t>
      </w:r>
      <w:r>
        <w:t xml:space="preserve"> </w:t>
      </w:r>
      <w:r>
        <w:t xml:space="preserve">“</w:t>
      </w:r>
      <w:r>
        <w:t xml:space="preserve">does this alternate</w:t>
      </w:r>
      <w:r>
        <w:t xml:space="preserve">”</w:t>
      </w:r>
      <w:r>
        <w:t xml:space="preserve"> </w:t>
      </w:r>
      <w:r>
        <w:t xml:space="preserve">must not</w:t>
      </w:r>
      <w:r>
        <w:t xml:space="preserve"> </w:t>
      </w:r>
      <w:r>
        <w:t xml:space="preserve">merge them into one answer.</w:t>
      </w:r>
    </w:p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this is new geometry the beam tool never needed at all —</w:t>
      </w:r>
      <w:r>
        <w:t xml:space="preserve"> </w:t>
      </w:r>
      <w:r>
        <w:t xml:space="preserve">subset-defined closed loops, per-level hook-corner rotation, and</w:t>
      </w:r>
      <w:r>
        <w:t xml:space="preserve"> </w:t>
      </w:r>
      <w:r>
        <w:t xml:space="preserve">overlapping tie shapes are a genuinely new module, not a re-skin of</w:t>
      </w:r>
      <w:r>
        <w:t xml:space="preserve"> </w:t>
      </w:r>
      <w:r>
        <w:rPr>
          <w:rStyle w:val="VerbatimChar"/>
        </w:rPr>
        <w:t xml:space="preserve">rft.core.stirrups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ac702d71d833b122112015c5a27fe0682a08f5"/>
    <w:p>
      <w:pPr>
        <w:pStyle w:val="Heading2"/>
      </w:pPr>
      <w:r>
        <w:t xml:space="preserve">7. Hook types — two independent dropdowns (C8, CONFIRMED)</w:t>
      </w:r>
    </w:p>
    <w:p>
      <w:pPr>
        <w:pStyle w:val="BlockText"/>
      </w:pPr>
      <w:r>
        <w:t xml:space="preserve">The main outer tie hook type and the inner tie hook type are TWO</w:t>
      </w:r>
      <w:r>
        <w:t xml:space="preserve"> </w:t>
      </w:r>
      <w:r>
        <w:t xml:space="preserve">INDEPENDENT, user-selectable dropdowns, each populated from the</w:t>
      </w:r>
      <w:r>
        <w:t xml:space="preserve"> </w:t>
      </w:r>
      <w:r>
        <w:rPr>
          <w:rStyle w:val="VerbatimChar"/>
        </w:rPr>
        <w:t xml:space="preserve">RebarHookType</w:t>
      </w:r>
      <w:r>
        <w:t xml:space="preserve">s available in the project — the same</w:t>
      </w:r>
      <w:r>
        <w:t xml:space="preserve"> </w:t>
      </w:r>
      <w:r>
        <w:rPr>
          <w:rStyle w:val="VerbatimChar"/>
        </w:rPr>
        <w:t xml:space="preserve">hook_type_options</w:t>
      </w:r>
      <w:r>
        <w:t xml:space="preserve">-style approach as the beam tool, but NOT collapsed</w:t>
      </w:r>
      <w:r>
        <w:t xml:space="preserve"> </w:t>
      </w:r>
      <w:r>
        <w:t xml:space="preserve">into one control.</w:t>
      </w:r>
    </w:p>
    <w:p>
      <w:pPr>
        <w:pStyle w:val="BlockText"/>
      </w:pPr>
      <w:r>
        <w:rPr>
          <w:bCs/>
          <w:b/>
        </w:rPr>
        <w:t xml:space="preserve">Default value: 135° for both dropdowns.</w:t>
      </w:r>
      <w:r>
        <w:t xml:space="preserve"> </w:t>
      </w:r>
      <w:r>
        <w:t xml:space="preserve">The default is not a hard</w:t>
      </w:r>
      <w:r>
        <w:t xml:space="preserve"> </w:t>
      </w:r>
      <w:r>
        <w:t xml:space="preserve">requirement — the user may change either dropdown to any available</w:t>
      </w:r>
      <w:r>
        <w:t xml:space="preserve"> </w:t>
      </w:r>
      <w:r>
        <w:rPr>
          <w:rStyle w:val="VerbatimChar"/>
        </w:rPr>
        <w:t xml:space="preserve">RebarHookType</w:t>
      </w:r>
      <w:r>
        <w:t xml:space="preserve"> </w:t>
      </w:r>
      <w:r>
        <w:t xml:space="preserve">— but 135° is what each control opens with, reflecting</w:t>
      </w:r>
      <w:r>
        <w:t xml:space="preserve"> </w:t>
      </w:r>
      <w:r>
        <w:t xml:space="preserve">standard seismic practice, per §6.3’s hook-alternation rule applying to</w:t>
      </w:r>
      <w:r>
        <w:t xml:space="preserve"> </w:t>
      </w:r>
      <w:r>
        <w:t xml:space="preserve">whichever hook type is ultimately selected.</w:t>
      </w:r>
    </w:p>
    <w:p>
      <w:pPr>
        <w:pStyle w:val="FirstParagraph"/>
      </w:pPr>
      <w:r>
        <w:t xml:space="preserve">Rationale (stated, not left implicit): inner ties in seismic detailing</w:t>
      </w:r>
      <w:r>
        <w:t xml:space="preserve"> </w:t>
      </w:r>
      <w:r>
        <w:t xml:space="preserve">commonly require a strict 135° hook on at least one end, specifically</w:t>
      </w:r>
      <w:r>
        <w:t xml:space="preserve"> </w:t>
      </w:r>
      <w:r>
        <w:t xml:space="preserve">because an inner tie’s function is restraining an intermediate bar against</w:t>
      </w:r>
      <w:r>
        <w:t xml:space="preserve"> </w:t>
      </w:r>
      <w:r>
        <w:t xml:space="preserve">buckling; the main outer tie may legitimately be detailed differently</w:t>
      </w:r>
      <w:r>
        <w:t xml:space="preserve"> </w:t>
      </w:r>
      <w:r>
        <w:t xml:space="preserve">per project. The tool does not hardcode either angle — it defaults both to</w:t>
      </w:r>
      <w:r>
        <w:t xml:space="preserve"> </w:t>
      </w:r>
      <w:r>
        <w:t xml:space="preserve">135° and lets the user override, but keeps the two choices structurally</w:t>
      </w:r>
      <w:r>
        <w:t xml:space="preserve"> </w:t>
      </w:r>
      <w:r>
        <w:t xml:space="preserve">separate so one dropdown’s selection can never silently apply to the</w:t>
      </w:r>
      <w:r>
        <w:t xml:space="preserve"> </w:t>
      </w:r>
      <w:r>
        <w:t xml:space="preserve">other role.</w:t>
      </w:r>
    </w:p>
    <w:p>
      <w:r>
        <w:pict>
          <v:rect style="width:0;height:1.5pt" o:hralign="center" o:hrstd="t" o:hr="t"/>
        </w:pict>
      </w:r>
    </w:p>
    <w:bookmarkEnd w:id="30"/>
    <w:bookmarkStart w:id="31" w:name="spacing-input-mode-a-mode-b-toggle"/>
    <w:p>
      <w:pPr>
        <w:pStyle w:val="Heading2"/>
      </w:pPr>
      <w:r>
        <w:t xml:space="preserve">8. Spacing input: Mode A / Mode B toggle</w:t>
      </w:r>
    </w:p>
    <w:p>
      <w:pPr>
        <w:pStyle w:val="BlockText"/>
      </w:pPr>
      <w:r>
        <w:t xml:space="preserve">The UI provides a toggle for vertical tie spacing (</w:t>
      </w:r>
      <w:r>
        <w:rPr>
          <w:rStyle w:val="VerbatimChar"/>
        </w:rPr>
        <w:t xml:space="preserve">S₀</w:t>
      </w:r>
      <w:r>
        <w:t xml:space="preserve"> </w:t>
      </w:r>
      <w:r>
        <w:t xml:space="preserve">and middle-zone</w:t>
      </w:r>
      <w:r>
        <w:t xml:space="preserve"> </w:t>
      </w:r>
      <w:r>
        <w:t xml:space="preserve">spacing):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 A (Auto-Calculate):</w:t>
      </w:r>
      <w:r>
        <w:t xml:space="preserve"> </w:t>
      </w:r>
      <w:r>
        <w:t xml:space="preserve">the tool computes the strict code maximums</w:t>
      </w:r>
      <w:r>
        <w:t xml:space="preserve"> </w:t>
      </w:r>
      <w:r>
        <w:t xml:space="preserve">per §3-§5.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 B (Manual Override):</w:t>
      </w:r>
      <w:r>
        <w:t xml:space="preserve"> </w:t>
      </w:r>
      <w:r>
        <w:t xml:space="preserve">the user enters exact spacing values for</w:t>
      </w:r>
      <w:r>
        <w:t xml:space="preserve"> </w:t>
      </w:r>
      <w:r>
        <w:t xml:space="preserve">the confinement zone and the middle zone directly.</w:t>
      </w:r>
    </w:p>
    <w:p>
      <w:pPr>
        <w:pStyle w:val="FirstParagraph"/>
      </w:pPr>
      <w:r>
        <w:rPr>
          <w:bCs/>
          <w:b/>
        </w:rPr>
        <w:t xml:space="preserve">Manual-override behavior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warn but place,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stated explicitly so it is</w:t>
      </w:r>
      <w:r>
        <w:rPr>
          <w:bCs/>
          <w:b/>
        </w:rPr>
        <w:t xml:space="preserve"> </w:t>
      </w:r>
      <w:r>
        <w:rPr>
          <w:bCs/>
          <w:b/>
        </w:rPr>
        <w:t xml:space="preserve">never confused with either silent refusal or silent compliance:</w:t>
      </w:r>
    </w:p>
    <w:p>
      <w:pPr>
        <w:pStyle w:val="BlockText"/>
      </w:pPr>
      <w:r>
        <w:t xml:space="preserve">If Mode B’s user-entered spacing violates the code-calculated limit, the</w:t>
      </w:r>
      <w:r>
        <w:t xml:space="preserve"> </w:t>
      </w:r>
      <w:r>
        <w:t xml:space="preserve">tool does NOT refuse, and does NOT silently accept it either. The Review</w:t>
      </w:r>
      <w:r>
        <w:t xml:space="preserve"> </w:t>
      </w:r>
      <w:r>
        <w:t xml:space="preserve">report MUST display the code-calculated limit ALONGSIDE the user’s manual</w:t>
      </w:r>
      <w:r>
        <w:t xml:space="preserve"> </w:t>
      </w:r>
      <w:r>
        <w:t xml:space="preserve">value as a visible flag/warning. The placer logic ultimately respects and</w:t>
      </w:r>
      <w:r>
        <w:t xml:space="preserve"> </w:t>
      </w:r>
      <w:r>
        <w:t xml:space="preserve">builds the user’s manual value regardless of the warning.</w:t>
      </w:r>
    </w:p>
    <w:p>
      <w:pPr>
        <w:pStyle w:val="FirstParagraph"/>
      </w:pPr>
      <w:r>
        <w:t xml:space="preserve">This mirrors the beam tool’s single-source-of-truth principle: the</w:t>
      </w:r>
      <w:r>
        <w:t xml:space="preserve"> </w:t>
      </w:r>
      <w:r>
        <w:t xml:space="preserve">Review report and the placer must show/use the same number, so a violation</w:t>
      </w:r>
      <w:r>
        <w:t xml:space="preserve"> </w:t>
      </w:r>
      <w:r>
        <w:t xml:space="preserve">is visible on the page the same instant it becomes true in the model —</w:t>
      </w:r>
      <w:r>
        <w:t xml:space="preserve"> </w:t>
      </w:r>
      <w:r>
        <w:t xml:space="preserve">never discoverable only after the fact.</w:t>
      </w:r>
    </w:p>
    <w:p>
      <w:r>
        <w:pict>
          <v:rect style="width:0;height:1.5pt" o:hralign="center" o:hrstd="t" o:hr="t"/>
        </w:pict>
      </w:r>
    </w:p>
    <w:bookmarkEnd w:id="31"/>
    <w:bookmarkStart w:id="32" w:name="X32c52d6d11a3b96580cccb9bb78d9af45c15a3f"/>
    <w:p>
      <w:pPr>
        <w:pStyle w:val="Heading2"/>
      </w:pPr>
      <w:r>
        <w:t xml:space="preserve">9. Splice location — constructability override (C4, named exception)</w:t>
      </w:r>
    </w:p>
    <w:p>
      <w:pPr>
        <w:pStyle w:val="FirstParagraph"/>
      </w:pPr>
      <w:r>
        <w:rPr>
          <w:bCs/>
          <w:b/>
        </w:rPr>
        <w:t xml:space="preserve">Constructability Override (Exception to Seismic Clause):</w:t>
      </w:r>
      <w:r>
        <w:t xml:space="preserve"> </w:t>
      </w:r>
      <w:r>
        <w:t xml:space="preserve">Despite the</w:t>
      </w:r>
      <w:r>
        <w:t xml:space="preserve"> </w:t>
      </w:r>
      <w:r>
        <w:rPr>
          <w:rStyle w:val="VerbatimChar"/>
        </w:rPr>
        <w:t xml:space="preserve">L₀</w:t>
      </w:r>
      <w:r>
        <w:t xml:space="preserve"> </w:t>
      </w:r>
      <w:r>
        <w:t xml:space="preserve">confinement zone being a critical seismic region, lap splices shall</w:t>
      </w:r>
      <w:r>
        <w:t xml:space="preserve"> </w:t>
      </w:r>
      <w:r>
        <w:t xml:space="preserve">deliberately start at the top face of the support (falling entirely within</w:t>
      </w:r>
      <w:r>
        <w:t xml:space="preserve"> </w:t>
      </w:r>
      <w:r>
        <w:t xml:space="preserve">the lower</w:t>
      </w:r>
      <w:r>
        <w:t xml:space="preserve"> </w:t>
      </w:r>
      <w:r>
        <w:rPr>
          <w:rStyle w:val="VerbatimChar"/>
        </w:rPr>
        <w:t xml:space="preserve">L₀</w:t>
      </w:r>
      <w:r>
        <w:t xml:space="preserve"> </w:t>
      </w:r>
      <w:r>
        <w:t xml:space="preserve">zone of the upper segment). This is a conscious deviation</w:t>
      </w:r>
      <w:r>
        <w:t xml:space="preserve"> </w:t>
      </w:r>
      <w:r>
        <w:t xml:space="preserve">from the mid-height splice rule to accommodate standard real-world</w:t>
      </w:r>
      <w:r>
        <w:t xml:space="preserve"> </w:t>
      </w:r>
      <w:r>
        <w:t xml:space="preserve">floor-by-floor concrete pouring joints. The tool knowingly places lap</w:t>
      </w:r>
      <w:r>
        <w:t xml:space="preserve"> </w:t>
      </w:r>
      <w:r>
        <w:t xml:space="preserve">splices inside</w:t>
      </w:r>
      <w:r>
        <w:t xml:space="preserve"> </w:t>
      </w:r>
      <w:r>
        <w:rPr>
          <w:rStyle w:val="VerbatimChar"/>
        </w:rPr>
        <w:t xml:space="preserve">L₀</w:t>
      </w:r>
      <w:r>
        <w:t xml:space="preserve"> </w:t>
      </w:r>
      <w:r>
        <w:t xml:space="preserve">at the base of every story.</w:t>
      </w:r>
    </w:p>
    <w:p>
      <w:pPr>
        <w:pStyle w:val="BodyText"/>
      </w:pPr>
      <w:r>
        <w:rPr>
          <w:bCs/>
          <w:b/>
        </w:rPr>
        <w:t xml:space="preserve">Bar geometry:</w:t>
      </w:r>
      <w:r>
        <w:t xml:space="preserve"> </w:t>
      </w:r>
      <w:r>
        <w:t xml:space="preserve">the longitudinal bar is modeled starting from the current</w:t>
      </w:r>
      <w:r>
        <w:t xml:space="preserve"> </w:t>
      </w:r>
      <w:r>
        <w:t xml:space="preserve">floor level, extending upward through the column’s clear height and</w:t>
      </w:r>
      <w:r>
        <w:t xml:space="preserve"> </w:t>
      </w:r>
      <w:r>
        <w:t xml:space="preserve">through the top support, protruding by a splice length</w:t>
      </w:r>
      <w:r>
        <w:t xml:space="preserve"> </w:t>
      </w:r>
      <w:r>
        <w:rPr>
          <w:rStyle w:val="VerbatimChar"/>
        </w:rPr>
        <w:t xml:space="preserve">L_s</w:t>
      </w:r>
      <w:r>
        <w:t xml:space="preserve"> </w:t>
      </w:r>
      <w:r>
        <w:t xml:space="preserve">above the top</w:t>
      </w:r>
      <w:r>
        <w:t xml:space="preserve"> </w:t>
      </w:r>
      <w:r>
        <w:t xml:space="preserve">support’s face to connect with the next story.</w:t>
      </w:r>
    </w:p>
    <w:p>
      <w:pPr>
        <w:pStyle w:val="BodyText"/>
      </w:pPr>
      <w:r>
        <w:rPr>
          <w:rStyle w:val="VerbatimChar"/>
          <w:bCs/>
          <w:b/>
        </w:rPr>
        <w:t xml:space="preserve">L_s</w:t>
      </w:r>
      <w:r>
        <w:rPr>
          <w:bCs/>
          <w:b/>
        </w:rPr>
        <w:t xml:space="preserve"> </w:t>
      </w:r>
      <w:r>
        <w:rPr>
          <w:bCs/>
          <w:b/>
        </w:rPr>
        <w:t xml:space="preserve">as user input, never auto-calculated:</w:t>
      </w:r>
    </w:p>
    <w:p>
      <w:pPr>
        <w:pStyle w:val="Block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L_s</w:t>
      </w:r>
      <w:r>
        <w:t xml:space="preserve"> </w:t>
      </w:r>
      <w:r>
        <w:t xml:space="preserve">varies based on tension/compression zones,</w:t>
      </w:r>
      <w:r>
        <w:t xml:space="preserve"> </w:t>
      </w:r>
      <w:r>
        <w:rPr>
          <w:rStyle w:val="VerbatimChar"/>
        </w:rPr>
        <w:t xml:space="preserve">L_s</w:t>
      </w:r>
      <w:r>
        <w:t xml:space="preserve"> </w:t>
      </w:r>
      <w:r>
        <w:t xml:space="preserve">is a</w:t>
      </w:r>
      <w:r>
        <w:t xml:space="preserve"> </w:t>
      </w:r>
      <w:r>
        <w:t xml:space="preserve">direct user input (raw value or diameter multiplier). The tool does not</w:t>
      </w:r>
      <w:r>
        <w:t xml:space="preserve"> </w:t>
      </w:r>
      <w:r>
        <w:t xml:space="preserve">auto-calculate</w:t>
      </w:r>
      <w:r>
        <w:t xml:space="preserve"> </w:t>
      </w:r>
      <w:r>
        <w:rPr>
          <w:rStyle w:val="VerbatimChar"/>
        </w:rPr>
        <w:t xml:space="preserve">L_s</w:t>
      </w:r>
      <w:r>
        <w:t xml:space="preserve">; it blindly applies the user’s input.</w:t>
      </w:r>
    </w:p>
    <w:p>
      <w:r>
        <w:pict>
          <v:rect style="width:0;height:1.5pt" o:hralign="center" o:hrstd="t" o:hr="t"/>
        </w:pict>
      </w:r>
    </w:p>
    <w:bookmarkEnd w:id="32"/>
    <w:bookmarkStart w:id="33" w:name="explicit-non-reuse"/>
    <w:p>
      <w:pPr>
        <w:pStyle w:val="Heading2"/>
      </w:pPr>
      <w:r>
        <w:t xml:space="preserve">10. Explicit non-reuse</w:t>
      </w:r>
    </w:p>
    <w:p>
      <w:pPr>
        <w:pStyle w:val="BlockText"/>
      </w:pPr>
      <w:r>
        <w:t xml:space="preserve">This tool does NOT call or reuse</w:t>
      </w:r>
      <w:r>
        <w:t xml:space="preserve"> </w:t>
      </w:r>
      <w:r>
        <w:rPr>
          <w:rStyle w:val="VerbatimChar"/>
        </w:rPr>
        <w:t xml:space="preserve">rft.core.anchorage</w:t>
      </w:r>
      <w:r>
        <w:t xml:space="preserve">. Column bar ends</w:t>
      </w:r>
      <w:r>
        <w:t xml:space="preserve"> </w:t>
      </w:r>
      <w:r>
        <w:t xml:space="preserve">are governed entirely by the floor-to-floor splice/protrusion logic in</w:t>
      </w:r>
      <w:r>
        <w:t xml:space="preserve"> </w:t>
      </w:r>
      <w:r>
        <w:t xml:space="preserve">§9, not by beam-style supported/unsupported end anchorage.</w:t>
      </w:r>
    </w:p>
    <w:p>
      <w:pPr>
        <w:pStyle w:val="FirstParagraph"/>
      </w:pPr>
      <w:r>
        <w:t xml:space="preserve">Stated plainly, the same way any other non-reuse should be, so a future</w:t>
      </w:r>
      <w:r>
        <w:t xml:space="preserve"> </w:t>
      </w:r>
      <w:r>
        <w:t xml:space="preserve">contributor does not assume</w:t>
      </w:r>
      <w:r>
        <w:t xml:space="preserve"> </w:t>
      </w:r>
      <w:r>
        <w:rPr>
          <w:rStyle w:val="VerbatimChar"/>
        </w:rPr>
        <w:t xml:space="preserve">anchorage.py</w:t>
      </w:r>
      <w:r>
        <w:t xml:space="preserve"> </w:t>
      </w:r>
      <w:r>
        <w:t xml:space="preserve">should be wired in by default.</w:t>
      </w:r>
    </w:p>
    <w:p>
      <w:r>
        <w:pict>
          <v:rect style="width:0;height:1.5pt" o:hralign="center" o:hrstd="t" o:hr="t"/>
        </w:pict>
      </w:r>
    </w:p>
    <w:bookmarkEnd w:id="33"/>
    <w:bookmarkStart w:id="34" w:name="Xf820d8ec2c0045957c5ddcd8f91c5f3a98d1391"/>
    <w:p>
      <w:pPr>
        <w:pStyle w:val="Heading2"/>
      </w:pPr>
      <w:r>
        <w:t xml:space="preserve">11. Prerequisite before any core logic or UI is built</w:t>
      </w:r>
    </w:p>
    <w:p>
      <w:pPr>
        <w:pStyle w:val="BlockText"/>
      </w:pPr>
      <w:r>
        <w:t xml:space="preserve">A throwaway tracer-bullet script MUST be written and verified against a</w:t>
      </w:r>
      <w:r>
        <w:t xml:space="preserve"> </w:t>
      </w:r>
      <w:r>
        <w:t xml:space="preserve">real Revit host, on a real test column, for: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Section orientation</w:t>
      </w:r>
      <w:r>
        <w:t xml:space="preserve"> </w:t>
      </w:r>
      <w:r>
        <w:t xml:space="preserve">— reading which direction is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 the</w:t>
      </w:r>
      <w:r>
        <w:t xml:space="preserve"> </w:t>
      </w:r>
      <w:r>
        <w:t xml:space="preserve">model. A column is a point-based</w:t>
      </w:r>
      <w:r>
        <w:t xml:space="preserve"> </w:t>
      </w:r>
      <w:r>
        <w:rPr>
          <w:rStyle w:val="VerbatimChar"/>
        </w:rPr>
        <w:t xml:space="preserve">FamilyInstance</w:t>
      </w:r>
      <w:r>
        <w:t xml:space="preserve"> </w:t>
      </w:r>
      <w:r>
        <w:t xml:space="preserve">with a vertical</w:t>
      </w:r>
      <w:r>
        <w:t xml:space="preserve"> </w:t>
      </w:r>
      <w:r>
        <w:rPr>
          <w:rStyle w:val="VerbatimChar"/>
        </w:rPr>
        <w:t xml:space="preserve">Location.Point</w:t>
      </w:r>
      <w:r>
        <w:t xml:space="preserve">; its cross-section rotation does not come from</w:t>
      </w:r>
      <w:r>
        <w:t xml:space="preserve"> </w:t>
      </w:r>
      <w:r>
        <w:rPr>
          <w:rStyle w:val="VerbatimChar"/>
        </w:rPr>
        <w:t xml:space="preserve">Location.Curve</w:t>
      </w:r>
      <w:r>
        <w:t xml:space="preserve">-based axis reads the way beam geometry does, and this</w:t>
      </w:r>
      <w:r>
        <w:t xml:space="preserve"> </w:t>
      </w:r>
      <w:r>
        <w:t xml:space="preserve">exact class of</w:t>
      </w:r>
      <w:r>
        <w:t xml:space="preserve"> </w:t>
      </w:r>
      <w:r>
        <w:t xml:space="preserve">“</w:t>
      </w:r>
      <w:r>
        <w:t xml:space="preserve">wrong reference</w:t>
      </w:r>
      <w:r>
        <w:t xml:space="preserve">”</w:t>
      </w:r>
      <w:r>
        <w:t xml:space="preserve"> </w:t>
      </w:r>
      <w:r>
        <w:t xml:space="preserve">assumption has cost this project</w:t>
      </w:r>
      <w:r>
        <w:t xml:space="preserve"> </w:t>
      </w:r>
      <w:r>
        <w:t xml:space="preserve">multiple release candidates before.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Finding vertical framing neighbours</w:t>
      </w:r>
      <w:r>
        <w:t xml:space="preserve"> </w:t>
      </w:r>
      <w:r>
        <w:t xml:space="preserve">— locating the supporting/</w:t>
      </w:r>
      <w:r>
        <w:t xml:space="preserve"> </w:t>
      </w:r>
      <w:r>
        <w:t xml:space="preserve">framing element at BOTH the base and the top of the column segment.</w:t>
      </w:r>
      <w:r>
        <w:t xml:space="preserve"> </w:t>
      </w:r>
      <w:r>
        <w:t xml:space="preserve">Beam’s</w:t>
      </w:r>
      <w:r>
        <w:t xml:space="preserve"> </w:t>
      </w:r>
      <w:r>
        <w:rPr>
          <w:rStyle w:val="VerbatimChar"/>
        </w:rPr>
        <w:t xml:space="preserve">find_supporting_element</w:t>
      </w:r>
      <w:r>
        <w:t xml:space="preserve"> </w:t>
      </w:r>
      <w:r>
        <w:t xml:space="preserve">searches along one line at one end;</w:t>
      </w:r>
      <w:r>
        <w:t xml:space="preserve"> </w:t>
      </w:r>
      <w:r>
        <w:t xml:space="preserve">a column needs a genuinely new vertical search, not a reuse.</w:t>
      </w:r>
    </w:p>
    <w:p>
      <w:pPr>
        <w:pStyle w:val="FirstParagraph"/>
      </w:pPr>
      <w:r>
        <w:t xml:space="preserve">Both must be confirmed on a live host BEFORE any</w:t>
      </w:r>
      <w:r>
        <w:t xml:space="preserve"> </w:t>
      </w:r>
      <w:r>
        <w:rPr>
          <w:rStyle w:val="VerbatimChar"/>
        </w:rPr>
        <w:t xml:space="preserve">core.column_layout</w:t>
      </w:r>
      <w:r>
        <w:t xml:space="preserve"> </w:t>
      </w:r>
      <w:r>
        <w:t xml:space="preserve">module or WPF window is designed around an assumption about either.</w:t>
      </w:r>
    </w:p>
    <w:p>
      <w:r>
        <w:pict>
          <v:rect style="width:0;height:1.5pt" o:hralign="center" o:hrstd="t" o:hr="t"/>
        </w:pict>
      </w:r>
    </w:p>
    <w:bookmarkEnd w:id="34"/>
    <w:bookmarkStart w:id="35" w:name="citations-closed"/>
    <w:p>
      <w:pPr>
        <w:pStyle w:val="Heading2"/>
      </w:pPr>
      <w:r>
        <w:t xml:space="preserve">12. Citations (CLOSED)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 —</w:t>
            </w:r>
            <w:r>
              <w:t xml:space="preserve"> </w:t>
            </w:r>
            <w:r>
              <w:rPr>
                <w:rStyle w:val="VerbatimChar"/>
              </w:rPr>
              <w:t xml:space="preserve">L₀</w:t>
            </w:r>
            <w:r>
              <w:t xml:space="preserve"> </w:t>
            </w:r>
            <w:r>
              <w:t xml:space="preserve">confinement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ECP 203, Chapter 8 (Seismic Detailing Provisions).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—</w:t>
            </w:r>
            <w:r>
              <w:t xml:space="preserve"> </w:t>
            </w:r>
            <w:r>
              <w:rPr>
                <w:rStyle w:val="VerbatimChar"/>
              </w:rPr>
              <w:t xml:space="preserve">S₀</w:t>
            </w:r>
            <w:r>
              <w:t xml:space="preserve"> </w:t>
            </w:r>
            <w:r>
              <w:t xml:space="preserve">confinement spacing, first-tie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ECP 203, Chapter 8 (Seismic Detailing Provisions).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— horizontal restraint tiers, inner tie subset/closed-loop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Egyptian Detailing Guide (2001), Figure 13-3 (Typical Column Reinforcement Sections).</w:t>
            </w:r>
          </w:p>
        </w:tc>
      </w:tr>
    </w:tbl>
    <w:p>
      <w:pPr>
        <w:pStyle w:val="BodyText"/>
      </w:pPr>
      <w:r>
        <w:t xml:space="preserve">This closes the citation gap flagged in the prior draft. All three sources</w:t>
      </w:r>
      <w:r>
        <w:t xml:space="preserve"> </w:t>
      </w:r>
      <w:r>
        <w:t xml:space="preserve">are chapter/figure-level references rather than a numbered sub-clause —</w:t>
      </w:r>
      <w:r>
        <w:t xml:space="preserve"> </w:t>
      </w:r>
      <w:r>
        <w:t xml:space="preserve">if a more granular clause number exists within Chapter 8 or Figure 13-3</w:t>
      </w:r>
      <w:r>
        <w:t xml:space="preserve"> </w:t>
      </w:r>
      <w:r>
        <w:t xml:space="preserve">for any individual rule (e.g. the exact sub-item for the 8×/24×/half-b/150mm</w:t>
      </w:r>
      <w:r>
        <w:t xml:space="preserve"> </w:t>
      </w:r>
      <w:r>
        <w:t xml:space="preserve">list in §4), it should still be added when convenient, the same standard</w:t>
      </w:r>
      <w:r>
        <w:t xml:space="preserve"> </w:t>
      </w:r>
      <w:r>
        <w:t xml:space="preserve">the beam spec holds itself to (</w:t>
      </w:r>
      <w:r>
        <w:rPr>
          <w:rStyle w:val="VerbatimChar"/>
        </w:rPr>
        <w:t xml:space="preserve">rev 2 section 2.4</w:t>
      </w:r>
      <w:r>
        <w:t xml:space="preserve">, not just</w:t>
      </w:r>
      <w:r>
        <w:t xml:space="preserve"> </w:t>
      </w:r>
      <w:r>
        <w:t xml:space="preserve">“</w:t>
      </w:r>
      <w:r>
        <w:t xml:space="preserve">rev 2</w:t>
      </w:r>
      <w:r>
        <w:t xml:space="preserve">”</w:t>
      </w:r>
      <w:r>
        <w:t xml:space="preserve">).</w:t>
      </w:r>
      <w:r>
        <w:t xml:space="preserve"> </w:t>
      </w:r>
      <w:r>
        <w:t xml:space="preserve">This is a refinement to make later, not a blocker to starting the tracer</w:t>
      </w:r>
      <w:r>
        <w:t xml:space="preserve"> </w:t>
      </w:r>
      <w:r>
        <w:t xml:space="preserve">bullet.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RFT Detailing Spec (v1)</dc:title>
  <dc:creator/>
  <cp:keywords/>
  <dcterms:created xsi:type="dcterms:W3CDTF">2026-09-14T11:28:24Z</dcterms:created>
  <dcterms:modified xsi:type="dcterms:W3CDTF">2026-09-14T11:28:24Z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