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b/>
          <w:bCs/>
          <w:color w:val="1F4E79"/>
          <w:sz w:val="48"/>
          <w:szCs w:val="48"/>
        </w:rPr>
        <w:t xml:space="preserve">Simple Beam Rebar Detailing</w:t>
      </w:r>
    </w:p>
    <w:p>
      <w:pPr>
        <w:spacing w:after="60"/>
        <w:jc w:val="center"/>
      </w:pPr>
      <w:r>
        <w:rPr>
          <w:color w:val="595959"/>
          <w:sz w:val="32"/>
          <w:szCs w:val="32"/>
        </w:rPr>
        <w:t xml:space="preserve">Technical Specification</w:t>
      </w:r>
    </w:p>
    <w:p>
      <w:pPr>
        <w:spacing w:after="400"/>
        <w:jc w:val="center"/>
      </w:pPr>
      <w:r>
        <w:rPr>
          <w:b/>
          <w:bCs/>
          <w:color w:val="7F0000"/>
          <w:sz w:val="22"/>
          <w:szCs w:val="22"/>
        </w:rPr>
        <w:t xml:space="preserve">Revision 2  —  2026-09-08</w:t>
      </w:r>
    </w:p>
    <w:p>
      <w:pPr>
        <w:spacing w:after="120" w:line="276"/>
      </w:pPr>
      <w:r>
        <w:t xml:space="preserve">Scope: single-span, rectangular concrete beam. This document covers pure detailing logic — bar geometry, placement, and quantities — with no flexural or shear design calculation performed. Bar sizes, counts, and base dimensions are user inputs; this spec defines how those inputs become placed rebar geometry.</w:t>
      </w:r>
    </w:p>
    <w:p>
      <w:pPr>
        <w:spacing w:after="120" w:line="276"/>
      </w:pPr>
      <w:r>
        <w:t xml:space="preserve">Modeled after the workflow of CADS Rebar Extensions for Revit, built from first principles for a custom pyRevit / Revit API tool.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2F2" w:val="clear"/>
            <w:tcMar>
              <w:top w:type="dxa" w:w="120"/>
              <w:left w:type="dxa" w:w="160"/>
              <w:bottom w:type="dxa" w:w="120"/>
              <w:right w:type="dxa" w:w="160"/>
            </w:tcMar>
          </w:tcPr>
          <w:p>
            <w:pPr>
              <w:spacing w:after="60"/>
            </w:pPr>
            <w:r>
              <w:rPr>
                <w:b/>
                <w:bCs/>
                <w:color w:val="7F0000"/>
                <w:sz w:val="18"/>
                <w:szCs w:val="18"/>
              </w:rPr>
              <w:t xml:space="preserve">ABOUT REVISION 2</w:t>
            </w:r>
          </w:p>
          <w:p>
            <w:pPr>
              <w:spacing w:after="60" w:line="264"/>
            </w:pPr>
            <w:r>
              <w:rPr>
                <w:sz w:val="19"/>
                <w:szCs w:val="19"/>
              </w:rPr>
              <w:t xml:space="preserve">This revision incorporates 40 amendments (A1–A40) arising from the Wayfinder decision cycle, root issue #1 in the rft-beam-detailing repository. Each amendment is traced to its deciding ticket in docs/spec-amendments.md.</w:t>
            </w:r>
          </w:p>
          <w:p>
            <w:pPr>
              <w:spacing w:after="60" w:line="264"/>
            </w:pPr>
            <w:r>
              <w:rPr>
                <w:sz w:val="19"/>
                <w:szCs w:val="19"/>
              </w:rPr>
              <w:t xml:space="preserve">Amendments are marked inline throughout this document as [A…] with the deciding ticket number. Passages that changed materially carry a shaded note like this one.</w:t>
            </w:r>
          </w:p>
          <w:p>
            <w:pPr>
              <w:spacing w:after="60" w:line="264"/>
            </w:pPr>
            <w:r>
              <w:rPr>
                <w:sz w:val="19"/>
                <w:szCs w:val="19"/>
              </w:rPr>
              <w:t xml:space="preserve">Revision 1 closed §9 open item 1 (confirmed, not changed) and open item 3 (stirrup leg dimensions, now specified in §7). Open item 2 (multi-span) remains deferred.</w:t>
            </w:r>
          </w:p>
          <w:p>
            <w:pPr>
              <w:spacing w:after="0" w:line="264"/>
            </w:pPr>
            <w:r>
              <w:rPr>
                <w:sz w:val="19"/>
                <w:szCs w:val="19"/>
              </w:rPr>
              <w:t xml:space="preserve">Six residual questions (R1–R6) are listed in §11; they are deliberately unresolved and must be answered as acceptance criteria during implementation rather than assumed.</w:t>
            </w:r>
          </w:p>
        </w:tc>
      </w:tr>
    </w:tbl>
    <w:p>
      <w:r>
        <w:br w:type="page"/>
      </w:r>
    </w:p>
    <w:p>
      <w:pPr>
        <w:pStyle w:val="Heading1"/>
        <w:spacing w:after="160" w:before="320"/>
      </w:pPr>
      <w:r>
        <w:rPr>
          <w:b/>
          <w:bCs/>
          <w:color w:val="1F4E79"/>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b/>
          <w:bCs/>
          <w:color w:val="1F4E79"/>
          <w:sz w:val="30"/>
          <w:szCs w:val="30"/>
        </w:rPr>
        <w:t xml:space="preserve">1. Notation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shd w:fill="DCE6F1" w:val="clear"/>
            <w:tcMar>
              <w:top w:type="dxa" w:w="80"/>
              <w:left w:type="dxa" w:w="120"/>
              <w:bottom w:type="dxa" w:w="80"/>
              <w:right w:type="dxa" w:w="120"/>
            </w:tcMar>
          </w:tcPr>
          <w:p>
            <w:pPr>
              <w:spacing w:after="0" w:line="264"/>
            </w:pPr>
            <w:r>
              <w:rPr>
                <w:b/>
                <w:bCs/>
                <w:sz w:val="19"/>
                <w:szCs w:val="19"/>
              </w:rPr>
              <w:t xml:space="preserve">Symbol</w:t>
            </w:r>
          </w:p>
        </w:tc>
        <w:tc>
          <w:tcPr>
            <w:tcW w:type="dxa" w:w="7040"/>
            <w:shd w:fill="DCE6F1" w:val="clear"/>
            <w:tcMar>
              <w:top w:type="dxa" w:w="80"/>
              <w:left w:type="dxa" w:w="120"/>
              <w:bottom w:type="dxa" w:w="80"/>
              <w:right w:type="dxa" w:w="120"/>
            </w:tcMar>
          </w:tcPr>
          <w:p>
            <w:pPr>
              <w:spacing w:after="0" w:line="264"/>
            </w:pPr>
            <w:r>
              <w:rPr>
                <w:b/>
                <w:bCs/>
                <w:sz w:val="19"/>
                <w:szCs w:val="19"/>
              </w:rPr>
              <w:t xml:space="preserve">Meaning</w:t>
            </w:r>
          </w:p>
        </w:tc>
      </w:tr>
      <w:tr>
        <w:tc>
          <w:tcPr>
            <w:tcW w:type="dxa" w:w="1986"/>
            <w:tcMar>
              <w:top w:type="dxa" w:w="80"/>
              <w:left w:type="dxa" w:w="120"/>
              <w:bottom w:type="dxa" w:w="80"/>
              <w:right w:type="dxa" w:w="120"/>
            </w:tcMar>
          </w:tcPr>
          <w:p>
            <w:pPr>
              <w:spacing w:after="0" w:line="264"/>
            </w:pPr>
            <w:r>
              <w:rPr>
                <w:sz w:val="19"/>
                <w:szCs w:val="19"/>
              </w:rPr>
              <w:t xml:space="preserve">L</w:t>
            </w:r>
          </w:p>
        </w:tc>
        <w:tc>
          <w:tcPr>
            <w:tcW w:type="dxa" w:w="7040"/>
            <w:tcMar>
              <w:top w:type="dxa" w:w="80"/>
              <w:left w:type="dxa" w:w="120"/>
              <w:bottom w:type="dxa" w:w="80"/>
              <w:right w:type="dxa" w:w="120"/>
            </w:tcMar>
          </w:tcPr>
          <w:p>
            <w:pPr>
              <w:spacing w:after="0" w:line="264"/>
            </w:pPr>
            <w:r>
              <w:rPr>
                <w:sz w:val="19"/>
                <w:szCs w:val="19"/>
              </w:rPr>
              <w:t xml:space="preserve">Beam span length — centreline-to-centreline distance between supports  [A6, #3]</w:t>
            </w:r>
          </w:p>
        </w:tc>
      </w:tr>
      <w:tr>
        <w:tc>
          <w:tcPr>
            <w:tcW w:type="dxa" w:w="1986"/>
            <w:tcMar>
              <w:top w:type="dxa" w:w="80"/>
              <w:left w:type="dxa" w:w="120"/>
              <w:bottom w:type="dxa" w:w="80"/>
              <w:right w:type="dxa" w:w="120"/>
            </w:tcMar>
          </w:tcPr>
          <w:p>
            <w:pPr>
              <w:spacing w:after="0" w:line="264"/>
            </w:pPr>
            <w:r>
              <w:rPr>
                <w:sz w:val="19"/>
                <w:szCs w:val="19"/>
              </w:rPr>
              <w:t xml:space="preserve">b, h</w:t>
            </w:r>
          </w:p>
        </w:tc>
        <w:tc>
          <w:tcPr>
            <w:tcW w:type="dxa" w:w="7040"/>
            <w:tcMar>
              <w:top w:type="dxa" w:w="80"/>
              <w:left w:type="dxa" w:w="120"/>
              <w:bottom w:type="dxa" w:w="80"/>
              <w:right w:type="dxa" w:w="120"/>
            </w:tcMar>
          </w:tcPr>
          <w:p>
            <w:pPr>
              <w:spacing w:after="0" w:line="264"/>
            </w:pPr>
            <w:r>
              <w:rPr>
                <w:sz w:val="19"/>
                <w:szCs w:val="19"/>
              </w:rPr>
              <w:t xml:space="preserve">Beam cross-section width and depth</w:t>
            </w:r>
          </w:p>
        </w:tc>
      </w:tr>
      <w:tr>
        <w:tc>
          <w:tcPr>
            <w:tcW w:type="dxa" w:w="1986"/>
            <w:tcMar>
              <w:top w:type="dxa" w:w="80"/>
              <w:left w:type="dxa" w:w="120"/>
              <w:bottom w:type="dxa" w:w="80"/>
              <w:right w:type="dxa" w:w="120"/>
            </w:tcMar>
          </w:tcPr>
          <w:p>
            <w:pPr>
              <w:spacing w:after="0" w:line="264"/>
            </w:pPr>
            <w:r>
              <w:rPr>
                <w:sz w:val="19"/>
                <w:szCs w:val="19"/>
              </w:rPr>
              <w:t xml:space="preserve">cover</w:t>
            </w:r>
          </w:p>
        </w:tc>
        <w:tc>
          <w:tcPr>
            <w:tcW w:type="dxa" w:w="7040"/>
            <w:tcMar>
              <w:top w:type="dxa" w:w="80"/>
              <w:left w:type="dxa" w:w="120"/>
              <w:bottom w:type="dxa" w:w="80"/>
              <w:right w:type="dxa" w:w="120"/>
            </w:tcMar>
          </w:tcPr>
          <w:p>
            <w:pPr>
              <w:spacing w:after="0" w:line="264"/>
            </w:pPr>
            <w:r>
              <w:rPr>
                <w:sz w:val="19"/>
                <w:szCs w:val="19"/>
              </w:rPr>
              <w:t xml:space="preserve">Concrete cover to stirrup outer face. Context-dependent: the beam’s cover governs §4, §6 and §7; the supporting element’s own cover governs the §2 anchorage formulas  [A4, #2]</w:t>
            </w:r>
          </w:p>
        </w:tc>
      </w:tr>
      <w:tr>
        <w:tc>
          <w:tcPr>
            <w:tcW w:type="dxa" w:w="1986"/>
            <w:tcMar>
              <w:top w:type="dxa" w:w="80"/>
              <w:left w:type="dxa" w:w="120"/>
              <w:bottom w:type="dxa" w:w="80"/>
              <w:right w:type="dxa" w:w="120"/>
            </w:tcMar>
          </w:tcPr>
          <w:p>
            <w:pPr>
              <w:spacing w:after="0" w:line="264"/>
            </w:pPr>
            <w:r>
              <w:rPr>
                <w:sz w:val="19"/>
                <w:szCs w:val="19"/>
              </w:rPr>
              <w:t xml:space="preserve">ØTOP, ØBTM</w:t>
            </w:r>
          </w:p>
        </w:tc>
        <w:tc>
          <w:tcPr>
            <w:tcW w:type="dxa" w:w="7040"/>
            <w:tcMar>
              <w:top w:type="dxa" w:w="80"/>
              <w:left w:type="dxa" w:w="120"/>
              <w:bottom w:type="dxa" w:w="80"/>
              <w:right w:type="dxa" w:w="120"/>
            </w:tcMar>
          </w:tcPr>
          <w:p>
            <w:pPr>
              <w:spacing w:after="0" w:line="264"/>
            </w:pPr>
            <w:r>
              <w:rPr>
                <w:sz w:val="19"/>
                <w:szCs w:val="19"/>
              </w:rPr>
              <w:t xml:space="preserve">Diameter of top / bottom main bars (one diameter per face)</w:t>
            </w:r>
          </w:p>
        </w:tc>
      </w:tr>
      <w:tr>
        <w:tc>
          <w:tcPr>
            <w:tcW w:type="dxa" w:w="1986"/>
            <w:tcMar>
              <w:top w:type="dxa" w:w="80"/>
              <w:left w:type="dxa" w:w="120"/>
              <w:bottom w:type="dxa" w:w="80"/>
              <w:right w:type="dxa" w:w="120"/>
            </w:tcMar>
          </w:tcPr>
          <w:p>
            <w:pPr>
              <w:spacing w:after="0" w:line="264"/>
            </w:pPr>
            <w:r>
              <w:rPr>
                <w:sz w:val="19"/>
                <w:szCs w:val="19"/>
              </w:rPr>
              <w:t xml:space="preserve">Østirrup</w:t>
            </w:r>
          </w:p>
        </w:tc>
        <w:tc>
          <w:tcPr>
            <w:tcW w:type="dxa" w:w="7040"/>
            <w:tcMar>
              <w:top w:type="dxa" w:w="80"/>
              <w:left w:type="dxa" w:w="120"/>
              <w:bottom w:type="dxa" w:w="80"/>
              <w:right w:type="dxa" w:w="120"/>
            </w:tcMar>
          </w:tcPr>
          <w:p>
            <w:pPr>
              <w:spacing w:after="0" w:line="264"/>
            </w:pPr>
            <w:r>
              <w:rPr>
                <w:sz w:val="19"/>
                <w:szCs w:val="19"/>
              </w:rPr>
              <w:t xml:space="preserve">Stirrup bar diameter</w:t>
            </w:r>
          </w:p>
        </w:tc>
      </w:tr>
      <w:tr>
        <w:tc>
          <w:tcPr>
            <w:tcW w:type="dxa" w:w="1986"/>
            <w:tcMar>
              <w:top w:type="dxa" w:w="80"/>
              <w:left w:type="dxa" w:w="120"/>
              <w:bottom w:type="dxa" w:w="80"/>
              <w:right w:type="dxa" w:w="120"/>
            </w:tcMar>
          </w:tcPr>
          <w:p>
            <w:pPr>
              <w:spacing w:after="0" w:line="264"/>
            </w:pPr>
            <w:r>
              <w:rPr>
                <w:sz w:val="19"/>
                <w:szCs w:val="19"/>
              </w:rPr>
              <w:t xml:space="preserve">Øspacer</w:t>
            </w:r>
          </w:p>
        </w:tc>
        <w:tc>
          <w:tcPr>
            <w:tcW w:type="dxa" w:w="7040"/>
            <w:tcMar>
              <w:top w:type="dxa" w:w="80"/>
              <w:left w:type="dxa" w:w="120"/>
              <w:bottom w:type="dxa" w:w="80"/>
              <w:right w:type="dxa" w:w="120"/>
            </w:tcMar>
          </w:tcPr>
          <w:p>
            <w:pPr>
              <w:spacing w:after="0" w:line="264"/>
            </w:pPr>
            <w:r>
              <w:rPr>
                <w:sz w:val="19"/>
                <w:szCs w:val="19"/>
              </w:rPr>
              <w:t xml:space="preserve">Spacer bar diameter, separating stacked bar layers. User input, default 16  [A1, #4]</w:t>
            </w:r>
          </w:p>
        </w:tc>
      </w:tr>
      <w:tr>
        <w:tc>
          <w:tcPr>
            <w:tcW w:type="dxa" w:w="1986"/>
            <w:tcMar>
              <w:top w:type="dxa" w:w="80"/>
              <w:left w:type="dxa" w:w="120"/>
              <w:bottom w:type="dxa" w:w="80"/>
              <w:right w:type="dxa" w:w="120"/>
            </w:tcMar>
          </w:tcPr>
          <w:p>
            <w:pPr>
              <w:spacing w:after="0" w:line="264"/>
            </w:pPr>
            <w:r>
              <w:rPr>
                <w:sz w:val="19"/>
                <w:szCs w:val="19"/>
              </w:rPr>
              <w:t xml:space="preserve">Øcrack</w:t>
            </w:r>
          </w:p>
        </w:tc>
        <w:tc>
          <w:tcPr>
            <w:tcW w:type="dxa" w:w="7040"/>
            <w:tcMar>
              <w:top w:type="dxa" w:w="80"/>
              <w:left w:type="dxa" w:w="120"/>
              <w:bottom w:type="dxa" w:w="80"/>
              <w:right w:type="dxa" w:w="120"/>
            </w:tcMar>
          </w:tcPr>
          <w:p>
            <w:pPr>
              <w:spacing w:after="0" w:line="264"/>
            </w:pPr>
            <w:r>
              <w:rPr>
                <w:sz w:val="19"/>
                <w:szCs w:val="19"/>
              </w:rPr>
              <w:t xml:space="preserve">Crack / skin bar diameter. User input, default 12  [A2, #5]</w:t>
            </w:r>
          </w:p>
        </w:tc>
      </w:tr>
      <w:tr>
        <w:tc>
          <w:tcPr>
            <w:tcW w:type="dxa" w:w="1986"/>
            <w:tcMar>
              <w:top w:type="dxa" w:w="80"/>
              <w:left w:type="dxa" w:w="120"/>
              <w:bottom w:type="dxa" w:w="80"/>
              <w:right w:type="dxa" w:w="120"/>
            </w:tcMar>
          </w:tcPr>
          <w:p>
            <w:pPr>
              <w:spacing w:after="0" w:line="264"/>
            </w:pPr>
            <w:r>
              <w:rPr>
                <w:sz w:val="19"/>
                <w:szCs w:val="19"/>
              </w:rPr>
              <w:t xml:space="preserve">LD</w:t>
            </w:r>
          </w:p>
        </w:tc>
        <w:tc>
          <w:tcPr>
            <w:tcW w:type="dxa" w:w="7040"/>
            <w:tcMar>
              <w:top w:type="dxa" w:w="80"/>
              <w:left w:type="dxa" w:w="120"/>
              <w:bottom w:type="dxa" w:w="80"/>
              <w:right w:type="dxa" w:w="120"/>
            </w:tcMar>
          </w:tcPr>
          <w:p>
            <w:pPr>
              <w:spacing w:after="0" w:line="264"/>
            </w:pPr>
            <w:r>
              <w:rPr>
                <w:sz w:val="19"/>
                <w:szCs w:val="19"/>
              </w:rPr>
              <w:t xml:space="preserve">Development (anchorage) length required for a bar</w:t>
            </w:r>
          </w:p>
        </w:tc>
      </w:tr>
      <w:tr>
        <w:tc>
          <w:tcPr>
            <w:tcW w:type="dxa" w:w="1986"/>
            <w:tcMar>
              <w:top w:type="dxa" w:w="80"/>
              <w:left w:type="dxa" w:w="120"/>
              <w:bottom w:type="dxa" w:w="80"/>
              <w:right w:type="dxa" w:w="120"/>
            </w:tcMar>
          </w:tcPr>
          <w:p>
            <w:pPr>
              <w:spacing w:after="0" w:line="264"/>
            </w:pPr>
            <w:r>
              <w:rPr>
                <w:sz w:val="19"/>
                <w:szCs w:val="19"/>
              </w:rPr>
              <w:t xml:space="preserve">a, b (a_t, b_t for top)</w:t>
            </w:r>
          </w:p>
        </w:tc>
        <w:tc>
          <w:tcPr>
            <w:tcW w:type="dxa" w:w="7040"/>
            <w:tcMar>
              <w:top w:type="dxa" w:w="80"/>
              <w:left w:type="dxa" w:w="120"/>
              <w:bottom w:type="dxa" w:w="80"/>
              <w:right w:type="dxa" w:w="120"/>
            </w:tcMar>
          </w:tcPr>
          <w:p>
            <w:pPr>
              <w:spacing w:after="0" w:line="264"/>
            </w:pPr>
            <w:r>
              <w:rPr>
                <w:sz w:val="19"/>
                <w:szCs w:val="19"/>
              </w:rPr>
              <w:t xml:space="preserve">Straight and bent legs of an anchorage detail. Both are measured to the theoretical corner — the point where the two bar centrelines would meet at a sharp corner (BS 8666-style datum), not the actual straight run before the bar curves  [A5, #12]</w:t>
            </w:r>
          </w:p>
        </w:tc>
      </w:tr>
      <w:tr>
        <w:tc>
          <w:tcPr>
            <w:tcW w:type="dxa" w:w="1986"/>
            <w:tcMar>
              <w:top w:type="dxa" w:w="80"/>
              <w:left w:type="dxa" w:w="120"/>
              <w:bottom w:type="dxa" w:w="80"/>
              <w:right w:type="dxa" w:w="120"/>
            </w:tcMar>
          </w:tcPr>
          <w:p>
            <w:pPr>
              <w:spacing w:after="0" w:line="264"/>
            </w:pPr>
            <w:r>
              <w:rPr>
                <w:sz w:val="19"/>
                <w:szCs w:val="19"/>
              </w:rPr>
              <w:t xml:space="preserve">Dagg</w:t>
            </w:r>
          </w:p>
        </w:tc>
        <w:tc>
          <w:tcPr>
            <w:tcW w:type="dxa" w:w="7040"/>
            <w:tcMar>
              <w:top w:type="dxa" w:w="80"/>
              <w:left w:type="dxa" w:w="120"/>
              <w:bottom w:type="dxa" w:w="80"/>
              <w:right w:type="dxa" w:w="120"/>
            </w:tcMar>
          </w:tcPr>
          <w:p>
            <w:pPr>
              <w:spacing w:after="0" w:line="264"/>
            </w:pPr>
            <w:r>
              <w:rPr>
                <w:sz w:val="19"/>
                <w:szCs w:val="19"/>
              </w:rPr>
              <w:t xml:space="preserve">Maximum aggregate size</w:t>
            </w:r>
          </w:p>
        </w:tc>
      </w:tr>
      <w:tr>
        <w:tc>
          <w:tcPr>
            <w:tcW w:type="dxa" w:w="1986"/>
            <w:tcMar>
              <w:top w:type="dxa" w:w="80"/>
              <w:left w:type="dxa" w:w="120"/>
              <w:bottom w:type="dxa" w:w="80"/>
              <w:right w:type="dxa" w:w="120"/>
            </w:tcMar>
          </w:tcPr>
          <w:p>
            <w:pPr>
              <w:spacing w:after="0" w:line="264"/>
            </w:pPr>
            <w:r>
              <w:rPr>
                <w:sz w:val="19"/>
                <w:szCs w:val="19"/>
              </w:rPr>
              <w:t xml:space="preserve">H_avail</w:t>
            </w:r>
          </w:p>
        </w:tc>
        <w:tc>
          <w:tcPr>
            <w:tcW w:type="dxa" w:w="7040"/>
            <w:tcMar>
              <w:top w:type="dxa" w:w="80"/>
              <w:left w:type="dxa" w:w="120"/>
              <w:bottom w:type="dxa" w:w="80"/>
              <w:right w:type="dxa" w:w="120"/>
            </w:tcMar>
          </w:tcPr>
          <w:p>
            <w:pPr>
              <w:spacing w:after="0" w:line="264"/>
            </w:pPr>
            <w:r>
              <w:rPr>
                <w:sz w:val="19"/>
                <w:szCs w:val="19"/>
              </w:rPr>
              <w:t xml:space="preserve">Clear height available for crack / skin bars between main bar layers</w:t>
            </w:r>
          </w:p>
        </w:tc>
      </w:tr>
    </w:tbl>
    <w:p>
      <w:pPr>
        <w:pStyle w:val="Heading2"/>
        <w:spacing w:after="120" w:before="240"/>
      </w:pPr>
      <w:r>
        <w:rPr>
          <w:b/>
          <w:bCs/>
          <w:color w:val="1F4E79"/>
          <w:sz w:val="25"/>
          <w:szCs w:val="25"/>
        </w:rPr>
        <w:t xml:space="preserve">1.1 Steel grades  [A3, #13]</w:t>
      </w:r>
    </w:p>
    <w:p>
      <w:pPr>
        <w:spacing w:after="120" w:line="276"/>
      </w:pPr>
      <w:r>
        <w:t xml:space="preserve">Material is a first-class property of every bar. Egyptian Code (ECP) designations apply: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08"/>
        <w:gridCol w:w="2708"/>
        <w:gridCol w:w="1534"/>
        <w:gridCol w:w="2076"/>
      </w:tblGrid>
      <w:tr>
        <w:trPr>
          <w:tblHeader/>
        </w:trPr>
        <w:tc>
          <w:tcPr>
            <w:tcW w:type="dxa" w:w="2708"/>
            <w:shd w:fill="DCE6F1" w:val="clear"/>
            <w:tcMar>
              <w:top w:type="dxa" w:w="80"/>
              <w:left w:type="dxa" w:w="120"/>
              <w:bottom w:type="dxa" w:w="80"/>
              <w:right w:type="dxa" w:w="120"/>
            </w:tcMar>
          </w:tcPr>
          <w:p>
            <w:pPr>
              <w:spacing w:after="0" w:line="264"/>
            </w:pPr>
            <w:r>
              <w:rPr>
                <w:b/>
                <w:bCs/>
                <w:sz w:val="19"/>
                <w:szCs w:val="19"/>
              </w:rPr>
              <w:t xml:space="preserve">Bar category</w:t>
            </w:r>
          </w:p>
        </w:tc>
        <w:tc>
          <w:tcPr>
            <w:tcW w:type="dxa" w:w="2708"/>
            <w:shd w:fill="DCE6F1" w:val="clear"/>
            <w:tcMar>
              <w:top w:type="dxa" w:w="80"/>
              <w:left w:type="dxa" w:w="120"/>
              <w:bottom w:type="dxa" w:w="80"/>
              <w:right w:type="dxa" w:w="120"/>
            </w:tcMar>
          </w:tcPr>
          <w:p>
            <w:pPr>
              <w:spacing w:after="0" w:line="264"/>
            </w:pPr>
            <w:r>
              <w:rPr>
                <w:b/>
                <w:bCs/>
                <w:sz w:val="19"/>
                <w:szCs w:val="19"/>
              </w:rPr>
              <w:t xml:space="preserve">Grade</w:t>
            </w:r>
          </w:p>
        </w:tc>
        <w:tc>
          <w:tcPr>
            <w:tcW w:type="dxa" w:w="1534"/>
            <w:shd w:fill="DCE6F1" w:val="clear"/>
            <w:tcMar>
              <w:top w:type="dxa" w:w="80"/>
              <w:left w:type="dxa" w:w="120"/>
              <w:bottom w:type="dxa" w:w="80"/>
              <w:right w:type="dxa" w:w="120"/>
            </w:tcMar>
          </w:tcPr>
          <w:p>
            <w:pPr>
              <w:spacing w:after="0" w:line="264"/>
            </w:pPr>
            <w:r>
              <w:rPr>
                <w:b/>
                <w:bCs/>
                <w:sz w:val="19"/>
                <w:szCs w:val="19"/>
              </w:rPr>
              <w:t xml:space="preserve">fy</w:t>
            </w:r>
          </w:p>
        </w:tc>
        <w:tc>
          <w:tcPr>
            <w:tcW w:type="dxa" w:w="2076"/>
            <w:shd w:fill="DCE6F1" w:val="clear"/>
            <w:tcMar>
              <w:top w:type="dxa" w:w="80"/>
              <w:left w:type="dxa" w:w="120"/>
              <w:bottom w:type="dxa" w:w="80"/>
              <w:right w:type="dxa" w:w="120"/>
            </w:tcMar>
          </w:tcPr>
          <w:p>
            <w:pPr>
              <w:spacing w:after="0" w:line="264"/>
            </w:pPr>
            <w:r>
              <w:rPr>
                <w:b/>
                <w:bCs/>
                <w:sz w:val="19"/>
                <w:szCs w:val="19"/>
              </w:rPr>
              <w:t xml:space="preserve">Form</w:t>
            </w:r>
          </w:p>
        </w:tc>
      </w:tr>
      <w:tr>
        <w:tc>
          <w:tcPr>
            <w:tcW w:type="dxa" w:w="2708"/>
            <w:tcMar>
              <w:top w:type="dxa" w:w="80"/>
              <w:left w:type="dxa" w:w="120"/>
              <w:bottom w:type="dxa" w:w="80"/>
              <w:right w:type="dxa" w:w="120"/>
            </w:tcMar>
          </w:tcPr>
          <w:p>
            <w:pPr>
              <w:spacing w:after="0" w:line="264"/>
            </w:pPr>
            <w:r>
              <w:rPr>
                <w:sz w:val="19"/>
                <w:szCs w:val="19"/>
              </w:rPr>
              <w:t xml:space="preserve">Stirrups</w:t>
            </w:r>
          </w:p>
        </w:tc>
        <w:tc>
          <w:tcPr>
            <w:tcW w:type="dxa" w:w="2708"/>
            <w:tcMar>
              <w:top w:type="dxa" w:w="80"/>
              <w:left w:type="dxa" w:w="120"/>
              <w:bottom w:type="dxa" w:w="80"/>
              <w:right w:type="dxa" w:w="120"/>
            </w:tcMar>
          </w:tcPr>
          <w:p>
            <w:pPr>
              <w:spacing w:after="0" w:line="264"/>
            </w:pPr>
            <w:r>
              <w:rPr>
                <w:sz w:val="19"/>
                <w:szCs w:val="19"/>
              </w:rPr>
              <w:t xml:space="preserve">St 24/35 (mild)</w:t>
            </w:r>
          </w:p>
        </w:tc>
        <w:tc>
          <w:tcPr>
            <w:tcW w:type="dxa" w:w="1534"/>
            <w:tcMar>
              <w:top w:type="dxa" w:w="80"/>
              <w:left w:type="dxa" w:w="120"/>
              <w:bottom w:type="dxa" w:w="80"/>
              <w:right w:type="dxa" w:w="120"/>
            </w:tcMar>
          </w:tcPr>
          <w:p>
            <w:pPr>
              <w:spacing w:after="0" w:line="264"/>
            </w:pPr>
            <w:r>
              <w:rPr>
                <w:sz w:val="19"/>
                <w:szCs w:val="19"/>
              </w:rPr>
              <w:t xml:space="preserve">240 MPa</w:t>
            </w:r>
          </w:p>
        </w:tc>
        <w:tc>
          <w:tcPr>
            <w:tcW w:type="dxa" w:w="2076"/>
            <w:tcMar>
              <w:top w:type="dxa" w:w="80"/>
              <w:left w:type="dxa" w:w="120"/>
              <w:bottom w:type="dxa" w:w="80"/>
              <w:right w:type="dxa" w:w="120"/>
            </w:tcMar>
          </w:tcPr>
          <w:p>
            <w:pPr>
              <w:spacing w:after="0" w:line="264"/>
            </w:pPr>
            <w:r>
              <w:rPr>
                <w:sz w:val="19"/>
                <w:szCs w:val="19"/>
              </w:rPr>
              <w:t xml:space="preserve">Plain round</w:t>
            </w:r>
          </w:p>
        </w:tc>
      </w:tr>
      <w:tr>
        <w:tc>
          <w:tcPr>
            <w:tcW w:type="dxa" w:w="2708"/>
            <w:tcMar>
              <w:top w:type="dxa" w:w="80"/>
              <w:left w:type="dxa" w:w="120"/>
              <w:bottom w:type="dxa" w:w="80"/>
              <w:right w:type="dxa" w:w="120"/>
            </w:tcMar>
          </w:tcPr>
          <w:p>
            <w:pPr>
              <w:spacing w:after="0" w:line="264"/>
            </w:pPr>
            <w:r>
              <w:rPr>
                <w:sz w:val="19"/>
                <w:szCs w:val="19"/>
              </w:rPr>
              <w:t xml:space="preserve">Top main bars</w:t>
            </w:r>
          </w:p>
        </w:tc>
        <w:tc>
          <w:tcPr>
            <w:tcW w:type="dxa" w:w="2708"/>
            <w:tcMar>
              <w:top w:type="dxa" w:w="80"/>
              <w:left w:type="dxa" w:w="120"/>
              <w:bottom w:type="dxa" w:w="80"/>
              <w:right w:type="dxa" w:w="120"/>
            </w:tcMar>
          </w:tcPr>
          <w:p>
            <w:pPr>
              <w:spacing w:after="0" w:line="264"/>
            </w:pPr>
            <w:r>
              <w:rPr>
                <w:sz w:val="19"/>
                <w:szCs w:val="19"/>
              </w:rPr>
              <w:t xml:space="preserve">St 36/52 (high tensile)</w:t>
            </w:r>
          </w:p>
        </w:tc>
        <w:tc>
          <w:tcPr>
            <w:tcW w:type="dxa" w:w="1534"/>
            <w:tcMar>
              <w:top w:type="dxa" w:w="80"/>
              <w:left w:type="dxa" w:w="120"/>
              <w:bottom w:type="dxa" w:w="80"/>
              <w:right w:type="dxa" w:w="120"/>
            </w:tcMar>
          </w:tcPr>
          <w:p>
            <w:pPr>
              <w:spacing w:after="0" w:line="264"/>
            </w:pPr>
            <w:r>
              <w:rPr>
                <w:sz w:val="19"/>
                <w:szCs w:val="19"/>
              </w:rPr>
              <w:t xml:space="preserve">360 MPa</w:t>
            </w:r>
          </w:p>
        </w:tc>
        <w:tc>
          <w:tcPr>
            <w:tcW w:type="dxa" w:w="2076"/>
            <w:tcMar>
              <w:top w:type="dxa" w:w="80"/>
              <w:left w:type="dxa" w:w="120"/>
              <w:bottom w:type="dxa" w:w="80"/>
              <w:right w:type="dxa" w:w="120"/>
            </w:tcMar>
          </w:tcPr>
          <w:p>
            <w:pPr>
              <w:spacing w:after="0" w:line="264"/>
            </w:pPr>
            <w:r>
              <w:rPr>
                <w:sz w:val="19"/>
                <w:szCs w:val="19"/>
              </w:rPr>
              <w:t xml:space="preserve">Deformed</w:t>
            </w:r>
          </w:p>
        </w:tc>
      </w:tr>
      <w:tr>
        <w:tc>
          <w:tcPr>
            <w:tcW w:type="dxa" w:w="2708"/>
            <w:tcMar>
              <w:top w:type="dxa" w:w="80"/>
              <w:left w:type="dxa" w:w="120"/>
              <w:bottom w:type="dxa" w:w="80"/>
              <w:right w:type="dxa" w:w="120"/>
            </w:tcMar>
          </w:tcPr>
          <w:p>
            <w:pPr>
              <w:spacing w:after="0" w:line="264"/>
            </w:pPr>
            <w:r>
              <w:rPr>
                <w:sz w:val="19"/>
                <w:szCs w:val="19"/>
              </w:rPr>
              <w:t xml:space="preserve">Bottom main bars</w:t>
            </w:r>
          </w:p>
        </w:tc>
        <w:tc>
          <w:tcPr>
            <w:tcW w:type="dxa" w:w="2708"/>
            <w:tcMar>
              <w:top w:type="dxa" w:w="80"/>
              <w:left w:type="dxa" w:w="120"/>
              <w:bottom w:type="dxa" w:w="80"/>
              <w:right w:type="dxa" w:w="120"/>
            </w:tcMar>
          </w:tcPr>
          <w:p>
            <w:pPr>
              <w:spacing w:after="0" w:line="264"/>
            </w:pPr>
            <w:r>
              <w:rPr>
                <w:sz w:val="19"/>
                <w:szCs w:val="19"/>
              </w:rPr>
              <w:t xml:space="preserve">St 36/52 (high tensile)</w:t>
            </w:r>
          </w:p>
        </w:tc>
        <w:tc>
          <w:tcPr>
            <w:tcW w:type="dxa" w:w="1534"/>
            <w:tcMar>
              <w:top w:type="dxa" w:w="80"/>
              <w:left w:type="dxa" w:w="120"/>
              <w:bottom w:type="dxa" w:w="80"/>
              <w:right w:type="dxa" w:w="120"/>
            </w:tcMar>
          </w:tcPr>
          <w:p>
            <w:pPr>
              <w:spacing w:after="0" w:line="264"/>
            </w:pPr>
            <w:r>
              <w:rPr>
                <w:sz w:val="19"/>
                <w:szCs w:val="19"/>
              </w:rPr>
              <w:t xml:space="preserve">360 MPa</w:t>
            </w:r>
          </w:p>
        </w:tc>
        <w:tc>
          <w:tcPr>
            <w:tcW w:type="dxa" w:w="2076"/>
            <w:tcMar>
              <w:top w:type="dxa" w:w="80"/>
              <w:left w:type="dxa" w:w="120"/>
              <w:bottom w:type="dxa" w:w="80"/>
              <w:right w:type="dxa" w:w="120"/>
            </w:tcMar>
          </w:tcPr>
          <w:p>
            <w:pPr>
              <w:spacing w:after="0" w:line="264"/>
            </w:pPr>
            <w:r>
              <w:rPr>
                <w:sz w:val="19"/>
                <w:szCs w:val="19"/>
              </w:rPr>
              <w:t xml:space="preserve">Deformed</w:t>
            </w:r>
          </w:p>
        </w:tc>
      </w:tr>
      <w:tr>
        <w:tc>
          <w:tcPr>
            <w:tcW w:type="dxa" w:w="2708"/>
            <w:tcMar>
              <w:top w:type="dxa" w:w="80"/>
              <w:left w:type="dxa" w:w="120"/>
              <w:bottom w:type="dxa" w:w="80"/>
              <w:right w:type="dxa" w:w="120"/>
            </w:tcMar>
          </w:tcPr>
          <w:p>
            <w:pPr>
              <w:spacing w:after="0" w:line="264"/>
            </w:pPr>
            <w:r>
              <w:rPr>
                <w:sz w:val="19"/>
                <w:szCs w:val="19"/>
              </w:rPr>
              <w:t xml:space="preserve">Crack / skin bars</w:t>
            </w:r>
          </w:p>
        </w:tc>
        <w:tc>
          <w:tcPr>
            <w:tcW w:type="dxa" w:w="2708"/>
            <w:tcMar>
              <w:top w:type="dxa" w:w="80"/>
              <w:left w:type="dxa" w:w="120"/>
              <w:bottom w:type="dxa" w:w="80"/>
              <w:right w:type="dxa" w:w="120"/>
            </w:tcMar>
          </w:tcPr>
          <w:p>
            <w:pPr>
              <w:spacing w:after="0" w:line="264"/>
            </w:pPr>
            <w:r>
              <w:rPr>
                <w:sz w:val="19"/>
                <w:szCs w:val="19"/>
              </w:rPr>
              <w:t xml:space="preserve">St 36/52 (high tensile)</w:t>
            </w:r>
          </w:p>
        </w:tc>
        <w:tc>
          <w:tcPr>
            <w:tcW w:type="dxa" w:w="1534"/>
            <w:tcMar>
              <w:top w:type="dxa" w:w="80"/>
              <w:left w:type="dxa" w:w="120"/>
              <w:bottom w:type="dxa" w:w="80"/>
              <w:right w:type="dxa" w:w="120"/>
            </w:tcMar>
          </w:tcPr>
          <w:p>
            <w:pPr>
              <w:spacing w:after="0" w:line="264"/>
            </w:pPr>
            <w:r>
              <w:rPr>
                <w:sz w:val="19"/>
                <w:szCs w:val="19"/>
              </w:rPr>
              <w:t xml:space="preserve">360 MPa</w:t>
            </w:r>
          </w:p>
        </w:tc>
        <w:tc>
          <w:tcPr>
            <w:tcW w:type="dxa" w:w="2076"/>
            <w:tcMar>
              <w:top w:type="dxa" w:w="80"/>
              <w:left w:type="dxa" w:w="120"/>
              <w:bottom w:type="dxa" w:w="80"/>
              <w:right w:type="dxa" w:w="120"/>
            </w:tcMar>
          </w:tcPr>
          <w:p>
            <w:pPr>
              <w:spacing w:after="0" w:line="264"/>
            </w:pPr>
            <w:r>
              <w:rPr>
                <w:sz w:val="19"/>
                <w:szCs w:val="19"/>
              </w:rPr>
              <w:t xml:space="preserve">Deformed</w:t>
            </w:r>
          </w:p>
        </w:tc>
      </w:tr>
      <w:tr>
        <w:tc>
          <w:tcPr>
            <w:tcW w:type="dxa" w:w="2708"/>
            <w:tcMar>
              <w:top w:type="dxa" w:w="80"/>
              <w:left w:type="dxa" w:w="120"/>
              <w:bottom w:type="dxa" w:w="80"/>
              <w:right w:type="dxa" w:w="120"/>
            </w:tcMar>
          </w:tcPr>
          <w:p>
            <w:pPr>
              <w:spacing w:after="0" w:line="264"/>
            </w:pPr>
            <w:r>
              <w:rPr>
                <w:sz w:val="19"/>
                <w:szCs w:val="19"/>
              </w:rPr>
              <w:t xml:space="preserve">Spacer bars</w:t>
            </w:r>
          </w:p>
        </w:tc>
        <w:tc>
          <w:tcPr>
            <w:tcW w:type="dxa" w:w="2708"/>
            <w:tcMar>
              <w:top w:type="dxa" w:w="80"/>
              <w:left w:type="dxa" w:w="120"/>
              <w:bottom w:type="dxa" w:w="80"/>
              <w:right w:type="dxa" w:w="120"/>
            </w:tcMar>
          </w:tcPr>
          <w:p>
            <w:pPr>
              <w:spacing w:after="0" w:line="264"/>
            </w:pPr>
            <w:r>
              <w:rPr>
                <w:sz w:val="19"/>
                <w:szCs w:val="19"/>
              </w:rPr>
              <w:t xml:space="preserve">St 36/52 (high tensile)</w:t>
            </w:r>
          </w:p>
        </w:tc>
        <w:tc>
          <w:tcPr>
            <w:tcW w:type="dxa" w:w="1534"/>
            <w:tcMar>
              <w:top w:type="dxa" w:w="80"/>
              <w:left w:type="dxa" w:w="120"/>
              <w:bottom w:type="dxa" w:w="80"/>
              <w:right w:type="dxa" w:w="120"/>
            </w:tcMar>
          </w:tcPr>
          <w:p>
            <w:pPr>
              <w:spacing w:after="0" w:line="264"/>
            </w:pPr>
            <w:r>
              <w:rPr>
                <w:sz w:val="19"/>
                <w:szCs w:val="19"/>
              </w:rPr>
              <w:t xml:space="preserve">360 MPa</w:t>
            </w:r>
          </w:p>
        </w:tc>
        <w:tc>
          <w:tcPr>
            <w:tcW w:type="dxa" w:w="2076"/>
            <w:tcMar>
              <w:top w:type="dxa" w:w="80"/>
              <w:left w:type="dxa" w:w="120"/>
              <w:bottom w:type="dxa" w:w="80"/>
              <w:right w:type="dxa" w:w="120"/>
            </w:tcMar>
          </w:tcPr>
          <w:p>
            <w:pPr>
              <w:spacing w:after="0" w:line="264"/>
            </w:pPr>
            <w:r>
              <w:rPr>
                <w:sz w:val="19"/>
                <w:szCs w:val="19"/>
              </w:rPr>
              <w:t xml:space="preserve">Deformed</w:t>
            </w:r>
          </w:p>
        </w:tc>
      </w:tr>
    </w:tbl>
    <w:p>
      <w:pPr>
        <w:spacing w:after="120" w:line="276"/>
      </w:pPr>
      <w:r>
        <w:rPr>
          <w:b/>
          <w:bCs/>
        </w:rPr>
        <w:t xml:space="preserve">Rule: </w:t>
      </w:r>
      <w:r>
        <w:t xml:space="preserve">all bars other than stirrups use high tensile steel; stirrups use mild steel. Two distinct Revit </w:t>
      </w:r>
      <w:r>
        <w:rPr>
          <w:rFonts w:ascii="Consolas" w:cs="Consolas" w:eastAsia="Consolas" w:hAnsi="Consolas"/>
          <w:sz w:val="19"/>
          <w:szCs w:val="19"/>
        </w:rPr>
        <w:t xml:space="preserve">RebarBarType</w:t>
      </w:r>
      <w:r>
        <w:t xml:space="preserve">s are therefore in play within a single beam, each carrying its own grade and its own bend radius.</w:t>
      </w:r>
    </w:p>
    <w:p>
      <w:pPr>
        <w:pStyle w:val="Heading1"/>
        <w:spacing w:after="160" w:before="320"/>
      </w:pPr>
      <w:r>
        <w:rPr>
          <w:b/>
          <w:bCs/>
          <w:color w:val="1F4E79"/>
          <w:sz w:val="30"/>
          <w:szCs w:val="30"/>
        </w:rPr>
        <w:t xml:space="preserve">2. Development Length &amp; End Anchorage</w:t>
      </w:r>
    </w:p>
    <w:p>
      <w:pPr>
        <w:spacing w:after="120" w:line="276"/>
      </w:pPr>
      <w:r>
        <w:rPr>
          <w:b/>
          <w:bCs/>
        </w:rPr>
        <w:t xml:space="preserve">Rule: </w:t>
      </w:r>
      <w:r>
        <w:t xml:space="preserve">where the support width is insufficient for a straight development length, the bar is split into a straight run ‘a’ plus a bent leg ‘b’, such that a + b = LD.</w:t>
      </w:r>
    </w:p>
    <w:p>
      <w:pPr>
        <w:pStyle w:val="Heading2"/>
        <w:spacing w:after="120" w:before="240"/>
      </w:pPr>
      <w:r>
        <w:rPr>
          <w:b/>
          <w:bCs/>
          <w:color w:val="1F4E79"/>
          <w:sz w:val="25"/>
          <w:szCs w:val="25"/>
        </w:rPr>
        <w:t xml:space="preserve">2.1 Top bar anchorage (into support)</w:t>
      </w:r>
    </w:p>
    <w:p>
      <w:pPr>
        <w:spacing w:after="140" w:before="60"/>
        <w:ind w:left="360"/>
      </w:pPr>
      <w:r>
        <w:rPr>
          <w:rFonts w:ascii="Consolas" w:cs="Consolas" w:eastAsia="Consolas" w:hAnsi="Consolas"/>
          <w:sz w:val="19"/>
          <w:szCs w:val="19"/>
        </w:rPr>
        <w:t xml:space="preserve">a_t = Support width − Cover − ØBTM</w:t>
      </w:r>
    </w:p>
    <w:p>
      <w:pPr>
        <w:spacing w:after="120" w:line="276"/>
      </w:pPr>
      <w:r>
        <w:t xml:space="preserve">ØBTM (not ØTOP) is used deliberately: this sizes the clearance so the bent top bar does not clash with the bottom bar’s own bend at the joint.</w:t>
      </w:r>
    </w:p>
    <w:p>
      <w:pPr>
        <w:spacing w:after="140" w:before="60"/>
        <w:ind w:left="360"/>
      </w:pPr>
      <w:r>
        <w:rPr>
          <w:rFonts w:ascii="Consolas" w:cs="Consolas" w:eastAsia="Consolas" w:hAnsi="Consolas"/>
          <w:sz w:val="19"/>
          <w:szCs w:val="19"/>
        </w:rPr>
        <w:t xml:space="preserve">b_t = LD_top − a_t</w:t>
      </w:r>
    </w:p>
    <w:p>
      <w:pPr>
        <w:spacing w:after="120" w:line="276"/>
      </w:pPr>
      <w:r>
        <w:t xml:space="preserve">LD_top is computed from a user-specified multiplier. Top and bottom bars take independent multipliers — defaults 60 × ØTOP and 55 × ØBTM — each shared across both beam ends. Multipliers are code- and grade-dependent user inputs, never hardcoded; the UI states the grade they assume (St 36/52).  [A10, #2 #13]</w:t>
      </w:r>
    </w:p>
    <w:p>
      <w:pPr>
        <w:pStyle w:val="Heading2"/>
        <w:spacing w:after="120" w:before="240"/>
      </w:pPr>
      <w:r>
        <w:rPr>
          <w:b/>
          <w:bCs/>
          <w:color w:val="1F4E79"/>
          <w:sz w:val="25"/>
          <w:szCs w:val="25"/>
        </w:rPr>
        <w:t xml:space="preserve">2.2 Bottom bar anchorage</w:t>
      </w:r>
    </w:p>
    <w:p>
      <w:pPr>
        <w:spacing w:after="0" w:before="60"/>
        <w:ind w:left="360"/>
      </w:pPr>
      <w:r>
        <w:rPr>
          <w:rFonts w:ascii="Consolas" w:cs="Consolas" w:eastAsia="Consolas" w:hAnsi="Consolas"/>
          <w:sz w:val="19"/>
          <w:szCs w:val="19"/>
        </w:rPr>
        <w:t xml:space="preserve">a_btm = Support width − Cover</w:t>
      </w:r>
    </w:p>
    <w:p>
      <w:pPr>
        <w:spacing w:after="140" w:before="0"/>
        <w:ind w:left="360"/>
      </w:pPr>
      <w:r>
        <w:rPr>
          <w:rFonts w:ascii="Consolas" w:cs="Consolas" w:eastAsia="Consolas" w:hAnsi="Consolas"/>
          <w:sz w:val="19"/>
          <w:szCs w:val="19"/>
        </w:rPr>
        <w:t xml:space="preserve">b_btm = LD_btm − a_btm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2F2" w:val="clear"/>
            <w:tcMar>
              <w:top w:type="dxa" w:w="120"/>
              <w:left w:type="dxa" w:w="160"/>
              <w:bottom w:type="dxa" w:w="120"/>
              <w:right w:type="dxa" w:w="160"/>
            </w:tcMar>
          </w:tcPr>
          <w:p>
            <w:pPr>
              <w:spacing w:after="60"/>
            </w:pPr>
            <w:r>
              <w:rPr>
                <w:b/>
                <w:bCs/>
                <w:color w:val="7F0000"/>
                <w:sz w:val="18"/>
                <w:szCs w:val="18"/>
              </w:rPr>
              <w:t xml:space="preserve">A7 [#2] — OPEN ITEM 1 CLOSED: FORMULA CONFIRMED, NOT CHANGED</w:t>
            </w:r>
          </w:p>
          <w:p>
            <w:pPr>
              <w:spacing w:after="60" w:line="264"/>
            </w:pPr>
            <w:r>
              <w:rPr>
                <w:sz w:val="19"/>
                <w:szCs w:val="19"/>
              </w:rPr>
              <w:t xml:space="preserve">Revision 1 flagged a_btm as an unconfirmed placeholder that mirrored the top-bar logic. It is now confirmed correct as written.</w:t>
            </w:r>
          </w:p>
          <w:p>
            <w:pPr>
              <w:spacing w:after="60" w:line="264"/>
            </w:pPr>
            <w:r>
              <w:rPr>
                <w:sz w:val="19"/>
                <w:szCs w:val="19"/>
              </w:rPr>
              <w:t xml:space="preserve">Rationale: the top and bottom bent legs overlap in depth and therefore require horizontal separation. For ØTOP 12 / ØBTM 16 the required centreline separation is (ØTOP + ØBTM)/2 = 14 mm. Only this formula delivers it — a_btm − a_t = ØBTM = 16 mm, clearing by 2 mm. Subtracting ½ØBTM instead gives 8 mm, and subtracting ØTOP gives 4 mm; both clash.</w:t>
            </w:r>
          </w:p>
          <w:p>
            <w:pPr>
              <w:spacing w:after="60" w:line="264"/>
            </w:pPr>
            <w:r>
              <w:rPr>
                <w:sz w:val="19"/>
                <w:szCs w:val="19"/>
              </w:rPr>
              <w:t xml:space="preserve">This also explains why §2.1 subtracts ØBTM: a_t = a_btm − ØBTM backs the top bar off by exactly one bottom-bar diameter, which is the clash avoidance §2.1 describes.</w:t>
            </w:r>
          </w:p>
          <w:p>
            <w:pPr>
              <w:spacing w:after="0" w:line="264"/>
            </w:pPr>
            <w:r>
              <w:rPr>
                <w:sz w:val="19"/>
                <w:szCs w:val="19"/>
              </w:rPr>
              <w:t xml:space="preserve">Note that Figure 1 is schematic and not to scale — it draws a_btm shorter than a_t, and neither drawn dimension matches its own caption. The drawing cannot be used to verify these formulas.</w:t>
            </w:r>
          </w:p>
        </w:tc>
      </w:tr>
    </w:tbl>
    <w:p>
      <w:pPr>
        <w:pStyle w:val="Heading2"/>
        <w:spacing w:after="120" w:before="240"/>
      </w:pPr>
      <w:r>
        <w:rPr>
          <w:b/>
          <w:bCs/>
          <w:color w:val="1F4E79"/>
          <w:sz w:val="25"/>
          <w:szCs w:val="25"/>
        </w:rPr>
        <w:t xml:space="preserve">2.3 Governing constraints (apply to both top and bottom)</w:t>
      </w:r>
    </w:p>
    <w:p>
      <w:pPr>
        <w:pStyle w:val="ListParagraph"/>
        <w:numPr>
          <w:ilvl w:val="0"/>
          <w:numId w:val="2"/>
        </w:numPr>
        <w:spacing w:after="80" w:line="276"/>
      </w:pPr>
      <w:r>
        <w:rPr>
          <w:b/>
          <w:bCs/>
        </w:rPr>
        <w:t xml:space="preserve">Minimum bend length: </w:t>
      </w:r>
      <w:r>
        <w:t xml:space="preserve">if the computed b is &lt; 200 mm, clamp it to b = 200 mm.</w:t>
      </w:r>
    </w:p>
    <w:p>
      <w:pPr>
        <w:pStyle w:val="ListParagraph"/>
        <w:numPr>
          <w:ilvl w:val="0"/>
          <w:numId w:val="2"/>
        </w:numPr>
        <w:spacing w:after="80" w:line="276"/>
      </w:pPr>
      <w:r>
        <w:rPr>
          <w:b/>
          <w:bCs/>
        </w:rPr>
        <w:t xml:space="preserve">Straight-leg cap: </w:t>
      </w:r>
      <w:r>
        <w:t xml:space="preserve">where the available width alone already exceeds LD, cap the straight run so anchorage is not grossly over-delivered.  [A11, #2]</w:t>
      </w:r>
    </w:p>
    <w:p>
      <w:pPr>
        <w:spacing w:after="0" w:before="60"/>
        <w:ind w:left="360"/>
      </w:pPr>
      <w:r>
        <w:rPr>
          <w:rFonts w:ascii="Consolas" w:cs="Consolas" w:eastAsia="Consolas" w:hAnsi="Consolas"/>
          <w:sz w:val="19"/>
          <w:szCs w:val="19"/>
        </w:rPr>
        <w:t xml:space="preserve">a = min(a_formula, LD − 200)</w:t>
      </w:r>
    </w:p>
    <w:p>
      <w:pPr>
        <w:spacing w:after="0" w:before="0"/>
        <w:ind w:left="360"/>
      </w:pPr>
      <w:r>
        <w:rPr>
          <w:rFonts w:ascii="Consolas" w:cs="Consolas" w:eastAsia="Consolas" w:hAnsi="Consolas"/>
          <w:sz w:val="19"/>
          <w:szCs w:val="19"/>
        </w:rPr>
        <w:t xml:space="preserve">b = max(200, LD − a)</w:t>
      </w:r>
    </w:p>
    <w:p>
      <w:pPr>
        <w:spacing w:after="0" w:before="0"/>
        <w:ind w:left="360"/>
      </w:pPr>
      <w:r>
        <w:rPr>
          <w:rFonts w:ascii="Consolas" w:cs="Consolas" w:eastAsia="Consolas" w:hAnsi="Consolas"/>
          <w:sz w:val="19"/>
          <w:szCs w:val="19"/>
        </w:rPr>
        <w:t xml:space="preserve"> </w:t>
      </w:r>
    </w:p>
    <w:p>
      <w:pPr>
        <w:spacing w:after="140" w:before="0"/>
        <w:ind w:left="360"/>
      </w:pPr>
      <w:r>
        <w:rPr>
          <w:rFonts w:ascii="Consolas" w:cs="Consolas" w:eastAsia="Consolas" w:hAnsi="Consolas"/>
          <w:sz w:val="19"/>
          <w:szCs w:val="19"/>
        </w:rPr>
        <w:t xml:space="preserve"># total anchorage = LD exactly, 200 mm minimum bend preserved</w:t>
      </w:r>
    </w:p>
    <w:p>
      <w:pPr>
        <w:spacing w:after="120" w:line="276"/>
      </w:pPr>
      <w:r>
        <w:t xml:space="preserve">Without this cap, a 600 mm support with LD = 300 mm would deliver 559 + 200 = 759 mm of anchorage against a 300 mm requirement — 2.5× the steel required.</w:t>
      </w:r>
    </w:p>
    <w:p>
      <w:pPr>
        <w:pStyle w:val="ListParagraph"/>
        <w:numPr>
          <w:ilvl w:val="0"/>
          <w:numId w:val="2"/>
        </w:numPr>
        <w:spacing w:after="80" w:line="276"/>
      </w:pPr>
      <w:r>
        <w:rPr>
          <w:b/>
          <w:bCs/>
        </w:rPr>
        <w:t xml:space="preserve">Mandatory hook rule (supported ends only): </w:t>
      </w:r>
      <w:r>
        <w:t xml:space="preserve">at a supported end, a hook is always formed — even if LD is less than the support width, so the bar could anchor straight — with a minimum leg of 200 mm.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2F2" w:val="clear"/>
            <w:tcMar>
              <w:top w:type="dxa" w:w="120"/>
              <w:left w:type="dxa" w:w="160"/>
              <w:bottom w:type="dxa" w:w="120"/>
              <w:right w:type="dxa" w:w="160"/>
            </w:tcMar>
          </w:tcPr>
          <w:p>
            <w:pPr>
              <w:spacing w:after="60"/>
            </w:pPr>
            <w:r>
              <w:rPr>
                <w:b/>
                <w:bCs/>
                <w:color w:val="7F0000"/>
                <w:sz w:val="18"/>
                <w:szCs w:val="18"/>
              </w:rPr>
              <w:t xml:space="preserve">A12 [#11] — CHANGED: MANDATORY-HOOK RULE NOW SCOPED TO SUPPORTED ENDS</w:t>
            </w:r>
          </w:p>
          <w:p>
            <w:pPr>
              <w:spacing w:after="60" w:line="264"/>
            </w:pPr>
            <w:r>
              <w:rPr>
                <w:sz w:val="19"/>
                <w:szCs w:val="19"/>
              </w:rPr>
              <w:t xml:space="preserve">Revision 1 stated flatly that "a hook is never omitted." That is now scoped: the rule applies only to ends where a support is detected.</w:t>
            </w:r>
          </w:p>
          <w:p>
            <w:pPr>
              <w:spacing w:after="0" w:line="264"/>
            </w:pPr>
            <w:r>
              <w:rPr>
                <w:sz w:val="19"/>
                <w:szCs w:val="19"/>
              </w:rPr>
              <w:t xml:space="preserve">A beam end with no detectable support receives a straight bar with no hook, anchorage length LD. See §2.5.</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2F2" w:val="clear"/>
            <w:tcMar>
              <w:top w:type="dxa" w:w="120"/>
              <w:left w:type="dxa" w:w="160"/>
              <w:bottom w:type="dxa" w:w="120"/>
              <w:right w:type="dxa" w:w="160"/>
            </w:tcMar>
          </w:tcPr>
          <w:p>
            <w:pPr>
              <w:spacing w:after="60"/>
            </w:pPr>
            <w:r>
              <w:rPr>
                <w:b/>
                <w:bCs/>
                <w:color w:val="7F0000"/>
                <w:sz w:val="18"/>
                <w:szCs w:val="18"/>
              </w:rPr>
              <w:t xml:space="preserve">A13 [#8] — TERMINOLOGY: "HOOK" HERE MEANS THE BENT LEG</w:t>
            </w:r>
          </w:p>
          <w:p>
            <w:pPr>
              <w:spacing w:after="60" w:line="264"/>
            </w:pPr>
            <w:r>
              <w:rPr>
                <w:sz w:val="19"/>
                <w:szCs w:val="19"/>
              </w:rPr>
              <w:t xml:space="preserve">"Hook" throughout §2 means the bent leg b — an L-bend built as a second curve segment of the bar. It does NOT mean a Revit RebarHookType, which is a fixed catalog element whose length is bar diameter × a multiplier and cannot be driven by an independent length such as b = LD − a.</w:t>
            </w:r>
          </w:p>
          <w:p>
            <w:pPr>
              <w:spacing w:after="0" w:line="264"/>
            </w:pPr>
            <w:r>
              <w:rPr>
                <w:sz w:val="19"/>
                <w:szCs w:val="19"/>
              </w:rPr>
              <w:t xml:space="preserve">Implementers must build the L-shape as a 2-segment curve list with startHook and endHook set to null. Reaching for a RebarHookType here produces a silently wrong leg length.</w:t>
            </w:r>
          </w:p>
        </w:tc>
      </w:tr>
    </w:tbl>
    <w:p>
      <w:pPr>
        <w:pStyle w:val="Heading2"/>
        <w:spacing w:after="120" w:before="240"/>
      </w:pPr>
      <w:r>
        <w:rPr>
          <w:b/>
          <w:bCs/>
          <w:color w:val="1F4E79"/>
          <w:sz w:val="25"/>
          <w:szCs w:val="25"/>
        </w:rPr>
        <w:t xml:space="preserve">2.4 Support width and cover  [A8, A9, #2 #11]</w:t>
      </w:r>
    </w:p>
    <w:p>
      <w:pPr>
        <w:pStyle w:val="ListParagraph"/>
        <w:numPr>
          <w:ilvl w:val="0"/>
          <w:numId w:val="2"/>
        </w:numPr>
        <w:spacing w:after="80" w:line="276"/>
      </w:pPr>
      <w:r>
        <w:t xml:space="preserve">Support width is read from the model at each beam end and is user-overridable.</w:t>
      </w:r>
    </w:p>
    <w:p>
      <w:pPr>
        <w:pStyle w:val="ListParagraph"/>
        <w:numPr>
          <w:ilvl w:val="0"/>
          <w:numId w:val="2"/>
        </w:numPr>
        <w:spacing w:after="80" w:line="276"/>
      </w:pPr>
      <w:r>
        <w:t xml:space="preserve">Support detection covers any structural support — column, wall or girder — using the detected element’s width or thickness. A beam framing into a girder is still a single span; this does not bring multi-span into scope.</w:t>
      </w:r>
    </w:p>
    <w:p>
      <w:pPr>
        <w:pStyle w:val="ListParagraph"/>
        <w:numPr>
          <w:ilvl w:val="0"/>
          <w:numId w:val="2"/>
        </w:numPr>
        <w:spacing w:after="80" w:line="276"/>
      </w:pPr>
      <w:r>
        <w:t xml:space="preserve">Cover in the a_t / a_btm formulas is the supporting element’s own cover, not the beam’s, because the dimension is measured inside the support.</w:t>
      </w:r>
    </w:p>
    <w:p>
      <w:pPr>
        <w:pStyle w:val="Heading2"/>
        <w:spacing w:after="120" w:before="240"/>
      </w:pPr>
      <w:r>
        <w:rPr>
          <w:b/>
          <w:bCs/>
          <w:color w:val="1F4E79"/>
          <w:sz w:val="25"/>
          <w:szCs w:val="25"/>
        </w:rPr>
        <w:t xml:space="preserve">2.5 Ends with no detectable support  [A12, A14, #11]</w:t>
      </w:r>
    </w:p>
    <w:p>
      <w:pPr>
        <w:pStyle w:val="ListParagraph"/>
        <w:numPr>
          <w:ilvl w:val="0"/>
          <w:numId w:val="2"/>
        </w:numPr>
        <w:spacing w:after="80" w:line="276"/>
      </w:pPr>
      <w:r>
        <w:t xml:space="preserve">A straight bar with no hook, anchorage length LD, is placed. The mandatory-hook rule of §2.3 does not apply.</w:t>
      </w:r>
    </w:p>
    <w:p>
      <w:pPr>
        <w:pStyle w:val="ListParagraph"/>
        <w:numPr>
          <w:ilvl w:val="0"/>
          <w:numId w:val="2"/>
        </w:numPr>
        <w:spacing w:after="80" w:line="276"/>
      </w:pPr>
      <w:r>
        <w:t xml:space="preserve">Cantilever and free ends are out of scope for v1. They fall into this path and the tool must warn rather than silently produce the geometry.</w:t>
      </w:r>
    </w:p>
    <w:p>
      <w:pPr>
        <w:spacing w:after="60" w:before="160"/>
        <w:jc w:val="center"/>
      </w:pPr>
      <w:r>
        <w:drawing>
          <wp:inline distT="0" distB="0" distL="0" distR="0">
            <wp:extent cx="42862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343150"/>
                    </a:xfrm>
                    <a:prstGeom prst="rect">
                      <a:avLst/>
                    </a:prstGeom>
                  </pic:spPr>
                </pic:pic>
              </a:graphicData>
            </a:graphic>
          </wp:inline>
        </w:drawing>
      </w:r>
    </w:p>
    <w:p>
      <w:pPr>
        <w:spacing w:after="200"/>
        <w:jc w:val="center"/>
      </w:pPr>
      <w:r>
        <w:rPr>
          <w:i/>
          <w:iCs/>
          <w:color w:val="595959"/>
          <w:sz w:val="18"/>
          <w:szCs w:val="18"/>
        </w:rPr>
        <w:t xml:space="preserve">Figure 1 — Development length / end anchorage detail. Schematic only; not to scale (see A7).</w:t>
      </w:r>
    </w:p>
    <w:p>
      <w:pPr>
        <w:pStyle w:val="Heading1"/>
        <w:spacing w:after="160" w:before="320"/>
      </w:pPr>
      <w:r>
        <w:rPr>
          <w:b/>
          <w:bCs/>
          <w:color w:val="1F4E79"/>
          <w:sz w:val="30"/>
          <w:szCs w:val="30"/>
        </w:rPr>
        <w:t xml:space="preserve">3. Stirrup Distribution</w:t>
      </w:r>
    </w:p>
    <w:p>
      <w:pPr>
        <w:spacing w:after="120" w:line="276"/>
      </w:pPr>
      <w:r>
        <w:rPr>
          <w:b/>
          <w:bCs/>
        </w:rPr>
        <w:t xml:space="preserve">Rule: </w:t>
      </w:r>
      <w:r>
        <w:t xml:space="preserve">beam span is split into three zones of equal length L/3 — dense stirrup spacing near both supports, normal spacing at midspan. This is a simplified 3-zone convention, not derived from a shear-demand diagram.</w:t>
      </w:r>
    </w:p>
    <w:p>
      <w:pPr>
        <w:spacing w:after="0" w:before="60"/>
        <w:ind w:left="360"/>
      </w:pPr>
      <w:r>
        <w:rPr>
          <w:rFonts w:ascii="Consolas" w:cs="Consolas" w:eastAsia="Consolas" w:hAnsi="Consolas"/>
          <w:sz w:val="19"/>
          <w:szCs w:val="19"/>
        </w:rPr>
        <w:t xml:space="preserve">zone 1 (support A):  0      →  L/3     — dense spacing</w:t>
      </w:r>
    </w:p>
    <w:p>
      <w:pPr>
        <w:spacing w:after="0" w:before="0"/>
        <w:ind w:left="360"/>
      </w:pPr>
      <w:r>
        <w:rPr>
          <w:rFonts w:ascii="Consolas" w:cs="Consolas" w:eastAsia="Consolas" w:hAnsi="Consolas"/>
          <w:sz w:val="19"/>
          <w:szCs w:val="19"/>
        </w:rPr>
        <w:t xml:space="preserve">zone 2 (midspan):    L/3    →  2L/3    — normal spacing</w:t>
      </w:r>
    </w:p>
    <w:p>
      <w:pPr>
        <w:spacing w:after="140" w:before="0"/>
        <w:ind w:left="360"/>
      </w:pPr>
      <w:r>
        <w:rPr>
          <w:rFonts w:ascii="Consolas" w:cs="Consolas" w:eastAsia="Consolas" w:hAnsi="Consolas"/>
          <w:sz w:val="19"/>
          <w:szCs w:val="19"/>
        </w:rPr>
        <w:t xml:space="preserve">zone 3 (support B):  2L/3   →  L       — dense spacing</w:t>
      </w:r>
    </w:p>
    <w:p>
      <w:pPr>
        <w:pStyle w:val="Heading2"/>
        <w:spacing w:after="120" w:before="240"/>
      </w:pPr>
      <w:r>
        <w:rPr>
          <w:b/>
          <w:bCs/>
          <w:color w:val="1F4E79"/>
          <w:sz w:val="25"/>
          <w:szCs w:val="25"/>
        </w:rPr>
        <w:t xml:space="preserve">3.1 Zone clipping  [A15, A16, #3]</w:t>
      </w:r>
    </w:p>
    <w:p>
      <w:pPr>
        <w:spacing w:after="120" w:line="276"/>
      </w:pPr>
      <w:r>
        <w:t xml:space="preserve">L is measured centreline-to-centreline of the supports, but stirrups exist only between the support faces. The zone boundaries and the placement region are therefore in different datums, and the arrays are clipped:</w:t>
      </w:r>
    </w:p>
    <w:p>
      <w:pPr>
        <w:spacing w:after="0" w:before="60"/>
        <w:ind w:left="360"/>
      </w:pPr>
      <w:r>
        <w:rPr>
          <w:rFonts w:ascii="Consolas" w:cs="Consolas" w:eastAsia="Consolas" w:hAnsi="Consolas"/>
          <w:sz w:val="19"/>
          <w:szCs w:val="19"/>
        </w:rPr>
        <w:t xml:space="preserve">region_start = face_A + 50</w:t>
      </w:r>
    </w:p>
    <w:p>
      <w:pPr>
        <w:spacing w:after="0" w:before="0"/>
        <w:ind w:left="360"/>
      </w:pPr>
      <w:r>
        <w:rPr>
          <w:rFonts w:ascii="Consolas" w:cs="Consolas" w:eastAsia="Consolas" w:hAnsi="Consolas"/>
          <w:sz w:val="19"/>
          <w:szCs w:val="19"/>
        </w:rPr>
        <w:t xml:space="preserve">region_end   = face_B − 50</w:t>
      </w:r>
    </w:p>
    <w:p>
      <w:pPr>
        <w:spacing w:after="0" w:before="0"/>
        <w:ind w:left="360"/>
      </w:pPr>
      <w:r>
        <w:rPr>
          <w:rFonts w:ascii="Consolas" w:cs="Consolas" w:eastAsia="Consolas" w:hAnsi="Consolas"/>
          <w:sz w:val="19"/>
          <w:szCs w:val="19"/>
        </w:rPr>
        <w:t xml:space="preserve"> </w:t>
      </w:r>
    </w:p>
    <w:p>
      <w:pPr>
        <w:spacing w:after="0" w:before="0"/>
        <w:ind w:left="360"/>
      </w:pPr>
      <w:r>
        <w:rPr>
          <w:rFonts w:ascii="Consolas" w:cs="Consolas" w:eastAsia="Consolas" w:hAnsi="Consolas"/>
          <w:sz w:val="19"/>
          <w:szCs w:val="19"/>
        </w:rPr>
        <w:t xml:space="preserve">zone 1 array: [ face_A + 50 , L/3          ]</w:t>
      </w:r>
    </w:p>
    <w:p>
      <w:pPr>
        <w:spacing w:after="0" w:before="0"/>
        <w:ind w:left="360"/>
      </w:pPr>
      <w:r>
        <w:rPr>
          <w:rFonts w:ascii="Consolas" w:cs="Consolas" w:eastAsia="Consolas" w:hAnsi="Consolas"/>
          <w:sz w:val="19"/>
          <w:szCs w:val="19"/>
        </w:rPr>
        <w:t xml:space="preserve">zone 2 array: [ L/3         , 2L/3         ]</w:t>
      </w:r>
    </w:p>
    <w:p>
      <w:pPr>
        <w:spacing w:after="140" w:before="0"/>
        <w:ind w:left="360"/>
      </w:pPr>
      <w:r>
        <w:rPr>
          <w:rFonts w:ascii="Consolas" w:cs="Consolas" w:eastAsia="Consolas" w:hAnsi="Consolas"/>
          <w:sz w:val="19"/>
          <w:szCs w:val="19"/>
        </w:rPr>
        <w:t xml:space="preserve">zone 3 array: [ 2L/3        , face_B − 50  ]</w:t>
      </w:r>
    </w:p>
    <w:p>
      <w:pPr>
        <w:spacing w:after="120" w:line="276"/>
      </w:pPr>
      <w:r>
        <w:t xml:space="preserve">The first and last stirrup both sit 50 mm from a support face — the distribution is mirrored.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2F2" w:val="clear"/>
            <w:tcMar>
              <w:top w:type="dxa" w:w="120"/>
              <w:left w:type="dxa" w:w="160"/>
              <w:bottom w:type="dxa" w:w="120"/>
              <w:right w:type="dxa" w:w="160"/>
            </w:tcMar>
          </w:tcPr>
          <w:p>
            <w:pPr>
              <w:spacing w:after="60"/>
            </w:pPr>
            <w:r>
              <w:rPr>
                <w:b/>
                <w:bCs/>
                <w:color w:val="7F0000"/>
                <w:sz w:val="18"/>
                <w:szCs w:val="18"/>
              </w:rPr>
              <w:t xml:space="preserve">A16 [#3] — CONSEQUENCE: THE DENSE ZONES ARE SHORTER THAN L/3</w:t>
            </w:r>
          </w:p>
          <w:p>
            <w:pPr>
              <w:spacing w:after="60" w:line="264"/>
            </w:pPr>
            <w:r>
              <w:rPr>
                <w:sz w:val="19"/>
                <w:szCs w:val="19"/>
              </w:rPr>
              <w:t xml:space="preserve">Because zones are defined on the centreline span but clipped to the clear region, zone 1 and zone 3 each carry stirrups over less than L/3 — short by roughly half the support width plus 50 mm — while zone 2 receives the full L/3.</w:t>
            </w:r>
          </w:p>
          <w:p>
            <w:pPr>
              <w:spacing w:after="0" w:line="264"/>
            </w:pPr>
            <w:r>
              <w:rPr>
                <w:sz w:val="19"/>
                <w:szCs w:val="19"/>
              </w:rPr>
              <w:t xml:space="preserve">This is a direct consequence of defining zones on the c/c span and is recorded here so it is not later mistaken for a defect.</w:t>
            </w:r>
          </w:p>
        </w:tc>
      </w:tr>
    </w:tbl>
    <w:p>
      <w:pPr>
        <w:spacing w:after="120" w:line="276"/>
      </w:pPr>
      <w:r>
        <w:rPr>
          <w:b/>
          <w:bCs/>
        </w:rPr>
        <w:t xml:space="preserve">Degenerate-case guard  [A17]: </w:t>
      </w:r>
      <w:r>
        <w:t xml:space="preserve">if face_A + 50 ≥ L/3 — a short span and/or a wide support — zone 1 has no valid array length. The tool must error with a clear message rather than pass a non-positive length to the API. The same test applies at the far end for zone 3.</w:t>
      </w:r>
    </w:p>
    <w:p>
      <w:pPr>
        <w:pStyle w:val="Heading2"/>
        <w:spacing w:after="120" w:before="240"/>
      </w:pPr>
      <w:r>
        <w:rPr>
          <w:b/>
          <w:bCs/>
          <w:color w:val="1F4E79"/>
          <w:sz w:val="25"/>
          <w:szCs w:val="25"/>
        </w:rPr>
        <w:t xml:space="preserve">3.2 Spacing semantics  [A18, #3 #8]</w:t>
      </w:r>
    </w:p>
    <w:p>
      <w:pPr>
        <w:spacing w:after="120" w:line="276"/>
      </w:pPr>
      <w:r>
        <w:t xml:space="preserve">Dense and normal values are maximum spacings, exactly as “Ø10 @ 150” conventionally means. Spacing is redistributed evenly to fill each zone exactly, so there is no remainder to allocate and no rounding rule to choose.</w:t>
      </w:r>
    </w:p>
    <w:p>
      <w:pPr>
        <w:spacing w:after="120" w:line="276"/>
      </w:pPr>
      <w:r>
        <w:t xml:space="preserve">Dense and normal spacing values are user inputs; the worked example is Ø10 @ 150 dense, Ø10 @ 200 normal.</w:t>
      </w:r>
    </w:p>
    <w:p>
      <w:pPr>
        <w:spacing w:after="60" w:before="160"/>
        <w:jc w:val="center"/>
      </w:pPr>
      <w:r>
        <w:drawing>
          <wp:inline distT="0" distB="0" distL="0" distR="0">
            <wp:extent cx="42862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1552575"/>
                    </a:xfrm>
                    <a:prstGeom prst="rect">
                      <a:avLst/>
                    </a:prstGeom>
                  </pic:spPr>
                </pic:pic>
              </a:graphicData>
            </a:graphic>
          </wp:inline>
        </w:drawing>
      </w:r>
    </w:p>
    <w:p>
      <w:pPr>
        <w:spacing w:after="200"/>
        <w:jc w:val="center"/>
      </w:pPr>
      <w:r>
        <w:rPr>
          <w:i/>
          <w:iCs/>
          <w:color w:val="595959"/>
          <w:sz w:val="18"/>
          <w:szCs w:val="18"/>
        </w:rPr>
        <w:t xml:space="preserve">Figure 2 — Stirrup distribution across L/3 zones</w:t>
      </w:r>
    </w:p>
    <w:p>
      <w:pPr>
        <w:pStyle w:val="Heading1"/>
        <w:spacing w:after="160" w:before="320"/>
      </w:pPr>
      <w:r>
        <w:rPr>
          <w:b/>
          <w:bCs/>
          <w:color w:val="1F4E79"/>
          <w:sz w:val="30"/>
          <w:szCs w:val="30"/>
        </w:rPr>
        <w:t xml:space="preserve">4. Main Bar Layer Offset (Cross-Section)</w:t>
      </w:r>
    </w:p>
    <w:p>
      <w:pPr>
        <w:spacing w:after="120" w:line="276"/>
      </w:pPr>
      <w:r>
        <w:rPr>
          <w:b/>
          <w:bCs/>
        </w:rPr>
        <w:t xml:space="preserve">Rule: </w:t>
      </w:r>
      <w:r>
        <w:t xml:space="preserve">the centreline of the first (outermost) bar in a layer is offset from the beam face by:</w:t>
      </w:r>
    </w:p>
    <w:p>
      <w:pPr>
        <w:spacing w:after="140" w:before="60"/>
        <w:ind w:left="360"/>
      </w:pPr>
      <w:r>
        <w:rPr>
          <w:rFonts w:ascii="Consolas" w:cs="Consolas" w:eastAsia="Consolas" w:hAnsi="Consolas"/>
          <w:sz w:val="19"/>
          <w:szCs w:val="19"/>
        </w:rPr>
        <w:t xml:space="preserve">offset₁ = Cover + Østirrup + (½ × Øbar)</w:t>
      </w:r>
    </w:p>
    <w:p>
      <w:pPr>
        <w:spacing w:after="120" w:line="276"/>
      </w:pPr>
      <w:r>
        <w:t xml:space="preserve">This is measured from the beam face to the centre of the first bottom (or top) bar — not to the stirrup, and not to the bar’s outer edge. It applies independently to the top layer (using ØTOP) and the bottom layer (using ØBTM).</w:t>
      </w:r>
    </w:p>
    <w:p>
      <w:pPr>
        <w:pStyle w:val="Heading2"/>
        <w:spacing w:after="120" w:before="240"/>
      </w:pPr>
      <w:r>
        <w:rPr>
          <w:b/>
          <w:bCs/>
          <w:color w:val="1F4E79"/>
          <w:sz w:val="25"/>
          <w:szCs w:val="25"/>
        </w:rPr>
        <w:t xml:space="preserve">4.1 Multi-layer accumulation  [A19, A20, #4]</w:t>
      </w:r>
    </w:p>
    <w:p>
      <w:pPr>
        <w:spacing w:after="120" w:line="276"/>
      </w:pPr>
      <w:r>
        <w:t xml:space="preserve">All rows within a face share that face’s single diameter. Each additional row adds one bar diameter plus one spacer diameter:</w:t>
      </w:r>
    </w:p>
    <w:p>
      <w:pPr>
        <w:spacing w:after="140" w:before="60"/>
        <w:ind w:left="360"/>
      </w:pPr>
      <w:r>
        <w:rPr>
          <w:rFonts w:ascii="Consolas" w:cs="Consolas" w:eastAsia="Consolas" w:hAnsi="Consolas"/>
          <w:sz w:val="19"/>
          <w:szCs w:val="19"/>
        </w:rPr>
        <w:t xml:space="preserve">offsetₙ = offset₁ + (n − 1) × (Øbar + Øspacer)      for n = 1..5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2F2" w:val="clear"/>
            <w:tcMar>
              <w:top w:type="dxa" w:w="120"/>
              <w:left w:type="dxa" w:w="160"/>
              <w:bottom w:type="dxa" w:w="120"/>
              <w:right w:type="dxa" w:w="160"/>
            </w:tcMar>
          </w:tcPr>
          <w:p>
            <w:pPr>
              <w:spacing w:after="60"/>
            </w:pPr>
            <w:r>
              <w:rPr>
                <w:b/>
                <w:bCs/>
                <w:color w:val="7F0000"/>
                <w:sz w:val="18"/>
                <w:szCs w:val="18"/>
              </w:rPr>
              <w:t xml:space="preserve">A19 [#4] — CHANGED: THE LAYER GAP IS THE USER-DEFINED SPACER DIAMETER</w:t>
            </w:r>
          </w:p>
          <w:p>
            <w:pPr>
              <w:spacing w:after="60" w:line="264"/>
            </w:pPr>
            <w:r>
              <w:rPr>
                <w:sz w:val="19"/>
                <w:szCs w:val="19"/>
              </w:rPr>
              <w:t xml:space="preserve">Revision 1 disagreed with itself: §4 called the layer gap "a user input" while §6.3 fixed a "convention: Ø16" spacer bar. These are now reconciled.</w:t>
            </w:r>
          </w:p>
          <w:p>
            <w:pPr>
              <w:spacing w:after="0" w:line="264"/>
            </w:pPr>
            <w:r>
              <w:rPr>
                <w:sz w:val="19"/>
                <w:szCs w:val="19"/>
              </w:rPr>
              <w:t xml:space="preserve">The vertical clear gap between stacked layers is Øspacer — a user input defaulting to 16. A physical spacer bar occupies that gap, so it is unambiguously a clear distance rather than a centre-to-centre pitch.</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2F2" w:val="clear"/>
            <w:tcMar>
              <w:top w:type="dxa" w:w="120"/>
              <w:left w:type="dxa" w:w="160"/>
              <w:bottom w:type="dxa" w:w="120"/>
              <w:right w:type="dxa" w:w="160"/>
            </w:tcMar>
          </w:tcPr>
          <w:p>
            <w:pPr>
              <w:spacing w:after="60"/>
            </w:pPr>
            <w:r>
              <w:rPr>
                <w:b/>
                <w:bCs/>
                <w:color w:val="7F0000"/>
                <w:sz w:val="18"/>
                <w:szCs w:val="18"/>
              </w:rPr>
              <w:t xml:space="preserve">A21 [#4, #6] — MINIMUM CLEAR SPACING IS HORIZONTAL-ONLY</w:t>
            </w:r>
          </w:p>
          <w:p>
            <w:pPr>
              <w:spacing w:after="60" w:line="264"/>
            </w:pPr>
            <w:r>
              <w:rPr>
                <w:sz w:val="19"/>
                <w:szCs w:val="19"/>
              </w:rPr>
              <w:t xml:space="preserve">§6.2’s min_spacing governs the horizontal direction only. It does not constrain the vertical gap between layers, which is set outright by Øspacer.</w:t>
            </w:r>
          </w:p>
          <w:p>
            <w:pPr>
              <w:spacing w:after="0" w:line="264"/>
            </w:pPr>
            <w:r>
              <w:rPr>
                <w:sz w:val="19"/>
                <w:szCs w:val="19"/>
              </w:rPr>
              <w:t xml:space="preserve">Accepted consequence: nothing prevents a vertical gap below the horizontal minimum. A Ø16 spacer under Ø20 bars yields a 16 mm vertical gap where 25 mm would be required horizontally. This was chosen deliberately for user control. Whether to warn is residual question R1 (§11).</w:t>
            </w:r>
          </w:p>
        </w:tc>
      </w:tr>
    </w:tbl>
    <w:p>
      <w:pPr>
        <w:spacing w:after="60" w:before="160"/>
        <w:jc w:val="center"/>
      </w:pPr>
      <w:r>
        <w:drawing>
          <wp:inline distT="0" distB="0" distL="0" distR="0">
            <wp:extent cx="428625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3400425"/>
                    </a:xfrm>
                    <a:prstGeom prst="rect">
                      <a:avLst/>
                    </a:prstGeom>
                  </pic:spPr>
                </pic:pic>
              </a:graphicData>
            </a:graphic>
          </wp:inline>
        </w:drawing>
      </w:r>
    </w:p>
    <w:p>
      <w:pPr>
        <w:spacing w:after="200"/>
        <w:jc w:val="center"/>
      </w:pPr>
      <w:r>
        <w:rPr>
          <w:i/>
          <w:iCs/>
          <w:color w:val="595959"/>
          <w:sz w:val="18"/>
          <w:szCs w:val="18"/>
        </w:rPr>
        <w:t xml:space="preserve">Figure 3 — Main bar layer offset, distinct top (3Ø12) and bottom (3Ø16) bar sizes</w:t>
      </w:r>
    </w:p>
    <w:p>
      <w:pPr>
        <w:pStyle w:val="Heading1"/>
        <w:spacing w:after="160" w:before="320"/>
      </w:pPr>
      <w:r>
        <w:rPr>
          <w:b/>
          <w:bCs/>
          <w:color w:val="1F4E79"/>
          <w:sz w:val="30"/>
          <w:szCs w:val="30"/>
        </w:rPr>
        <w:t xml:space="preserve">5. Crack / Skin Reinforcement (Beam Depth &gt; 700 mm)</w:t>
      </w:r>
    </w:p>
    <w:p>
      <w:pPr>
        <w:spacing w:after="120" w:line="276"/>
      </w:pPr>
      <w:r>
        <w:rPr>
          <w:b/>
          <w:bCs/>
        </w:rPr>
        <w:t xml:space="preserve">Trigger: </w:t>
      </w:r>
      <w:r>
        <w:t xml:space="preserve">only applies when h &gt; 700 mm. If h ≤ 700 mm then n_crack_layers = 0 and this section does not fire.</w:t>
      </w:r>
    </w:p>
    <w:p>
      <w:pPr>
        <w:pStyle w:val="Heading2"/>
        <w:spacing w:after="120" w:before="240"/>
      </w:pPr>
      <w:r>
        <w:rPr>
          <w:b/>
          <w:bCs/>
          <w:color w:val="1F4E79"/>
          <w:sz w:val="25"/>
          <w:szCs w:val="25"/>
        </w:rPr>
        <w:t xml:space="preserve">5.1 Available height</w:t>
      </w:r>
    </w:p>
    <w:p>
      <w:pPr>
        <w:spacing w:after="140" w:before="60"/>
        <w:ind w:left="360"/>
      </w:pPr>
      <w:r>
        <w:rPr>
          <w:rFonts w:ascii="Consolas" w:cs="Consolas" w:eastAsia="Consolas" w:hAnsi="Consolas"/>
          <w:sz w:val="19"/>
          <w:szCs w:val="19"/>
        </w:rPr>
        <w:t xml:space="preserve">H_avail = h − offset_top − offset_btm</w:t>
      </w:r>
    </w:p>
    <w:p>
      <w:pPr>
        <w:spacing w:after="120" w:line="276"/>
      </w:pPr>
      <w:r>
        <w:t xml:space="preserve">offset_top and offset_btm are computed per §4, to the centreline of the top and bottom main bars respectively.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2F2" w:val="clear"/>
            <w:tcMar>
              <w:top w:type="dxa" w:w="120"/>
              <w:left w:type="dxa" w:w="160"/>
              <w:bottom w:type="dxa" w:w="120"/>
              <w:right w:type="dxa" w:w="160"/>
            </w:tcMar>
          </w:tcPr>
          <w:p>
            <w:pPr>
              <w:spacing w:after="60"/>
            </w:pPr>
            <w:r>
              <w:rPr>
                <w:b/>
                <w:bCs/>
                <w:color w:val="7F0000"/>
                <w:sz w:val="18"/>
                <w:szCs w:val="18"/>
              </w:rPr>
              <w:t xml:space="preserve">A26 [#4] — MULTI-LAYER DATUM: INNERMOST LAYER</w:t>
            </w:r>
          </w:p>
          <w:p>
            <w:pPr>
              <w:spacing w:after="60" w:line="264"/>
            </w:pPr>
            <w:r>
              <w:rPr>
                <w:sz w:val="19"/>
                <w:szCs w:val="19"/>
              </w:rPr>
              <w:t xml:space="preserve">For a multi-layer beam these offsets are measured to the centreline of the innermost top and bottom layers, so H_avail is the true unreinforced web height. The web face between the innermost layers is the region actually lacking reinforcement, which is what skin bars address.</w:t>
            </w:r>
          </w:p>
          <w:p>
            <w:pPr>
              <w:spacing w:after="0" w:line="264"/>
            </w:pPr>
            <w:r>
              <w:rPr>
                <w:sz w:val="19"/>
                <w:szCs w:val="19"/>
              </w:rPr>
              <w:t xml:space="preserve">Revision 1 never addressed the multi-layer case, so this fills a gap rather than contradicting the earlier text.</w:t>
            </w:r>
          </w:p>
        </w:tc>
      </w:tr>
    </w:tbl>
    <w:p>
      <w:pPr>
        <w:pStyle w:val="Heading2"/>
        <w:spacing w:after="120" w:before="240"/>
      </w:pPr>
      <w:r>
        <w:rPr>
          <w:b/>
          <w:bCs/>
          <w:color w:val="1F4E79"/>
          <w:sz w:val="25"/>
          <w:szCs w:val="25"/>
        </w:rPr>
        <w:t xml:space="preserve">5.2 Layer count and spacing</w:t>
      </w:r>
    </w:p>
    <w:p>
      <w:pPr>
        <w:spacing w:after="120" w:line="276"/>
      </w:pPr>
      <w:r>
        <w:t xml:space="preserve">Given a user-specified maximum spacing s_max between crack-bar layers:</w:t>
      </w:r>
    </w:p>
    <w:p>
      <w:pPr>
        <w:spacing w:after="0" w:before="60"/>
        <w:ind w:left="360"/>
      </w:pPr>
      <w:r>
        <w:rPr>
          <w:rFonts w:ascii="Consolas" w:cs="Consolas" w:eastAsia="Consolas" w:hAnsi="Consolas"/>
          <w:sz w:val="19"/>
          <w:szCs w:val="19"/>
        </w:rPr>
        <w:t xml:space="preserve">n_gaps         = ceil(H_avail / s_max)</w:t>
      </w:r>
    </w:p>
    <w:p>
      <w:pPr>
        <w:spacing w:after="0" w:before="0"/>
        <w:ind w:left="360"/>
      </w:pPr>
      <w:r>
        <w:rPr>
          <w:rFonts w:ascii="Consolas" w:cs="Consolas" w:eastAsia="Consolas" w:hAnsi="Consolas"/>
          <w:sz w:val="19"/>
          <w:szCs w:val="19"/>
        </w:rPr>
        <w:t xml:space="preserve">n_crack_layers = n_gaps − 1</w:t>
      </w:r>
    </w:p>
    <w:p>
      <w:pPr>
        <w:spacing w:after="0" w:before="0"/>
        <w:ind w:left="360"/>
      </w:pPr>
      <w:r>
        <w:rPr>
          <w:rFonts w:ascii="Consolas" w:cs="Consolas" w:eastAsia="Consolas" w:hAnsi="Consolas"/>
          <w:sz w:val="19"/>
          <w:szCs w:val="19"/>
        </w:rPr>
        <w:t xml:space="preserve">actual_spacing = H_avail / n_gaps</w:t>
      </w:r>
    </w:p>
    <w:p>
      <w:pPr>
        <w:spacing w:after="0" w:before="0"/>
        <w:ind w:left="360"/>
      </w:pPr>
      <w:r>
        <w:rPr>
          <w:rFonts w:ascii="Consolas" w:cs="Consolas" w:eastAsia="Consolas" w:hAnsi="Consolas"/>
          <w:sz w:val="19"/>
          <w:szCs w:val="19"/>
        </w:rPr>
        <w:t xml:space="preserve"> </w:t>
      </w:r>
    </w:p>
    <w:p>
      <w:pPr>
        <w:spacing w:after="140" w:before="0"/>
        <w:ind w:left="360"/>
      </w:pPr>
      <w:r>
        <w:rPr>
          <w:rFonts w:ascii="Consolas" w:cs="Consolas" w:eastAsia="Consolas" w:hAnsi="Consolas"/>
          <w:sz w:val="19"/>
          <w:szCs w:val="19"/>
        </w:rPr>
        <w:t xml:space="preserve"># actual_spacing ≤ s_max, evenly distributed — no single odd leftover gap</w:t>
      </w:r>
    </w:p>
    <w:p>
      <w:pPr>
        <w:spacing w:after="120" w:line="276"/>
      </w:pPr>
      <w:r>
        <w:t xml:space="preserve">Crack bars are placed at each internal division point along H_avail, one bar per side (left / right face) per layer.</w:t>
      </w:r>
    </w:p>
    <w:p>
      <w:pPr>
        <w:pStyle w:val="Heading2"/>
        <w:spacing w:after="120" w:before="240"/>
      </w:pPr>
      <w:r>
        <w:rPr>
          <w:b/>
          <w:bCs/>
          <w:color w:val="1F4E79"/>
          <w:sz w:val="25"/>
          <w:szCs w:val="25"/>
        </w:rPr>
        <w:t xml:space="preserve">5.3 Diameter, position and extent  [A22, A23, A24, A25, #5]</w:t>
      </w:r>
    </w:p>
    <w:p>
      <w:pPr>
        <w:pStyle w:val="ListParagraph"/>
        <w:numPr>
          <w:ilvl w:val="0"/>
          <w:numId w:val="2"/>
        </w:numPr>
        <w:spacing w:after="80" w:line="276"/>
      </w:pPr>
      <w:r>
        <w:rPr>
          <w:b/>
          <w:bCs/>
        </w:rPr>
        <w:t xml:space="preserve">Diameter: </w:t>
      </w:r>
      <w:r>
        <w:t xml:space="preserve">Øcrack is a user input, default 12. Revision 1 listed only s_max, leaving crack bars with no placeable diameter.</w:t>
      </w:r>
    </w:p>
    <w:p>
      <w:pPr>
        <w:pStyle w:val="ListParagraph"/>
        <w:numPr>
          <w:ilvl w:val="0"/>
          <w:numId w:val="2"/>
        </w:numPr>
        <w:spacing w:after="80" w:line="276"/>
      </w:pPr>
      <w:r>
        <w:rPr>
          <w:b/>
          <w:bCs/>
        </w:rPr>
        <w:t xml:space="preserve">Horizontal position: </w:t>
      </w:r>
      <w:r>
        <w:t xml:space="preserve">uses the §4 rule — Cover + Østirrup + (½ × Øcrack) from each side face to the bar centreline. This matches Figure 4, which draws the crack bars on the stirrup’s inner face.</w:t>
      </w:r>
    </w:p>
    <w:p>
      <w:pPr>
        <w:pStyle w:val="ListParagraph"/>
        <w:numPr>
          <w:ilvl w:val="0"/>
          <w:numId w:val="2"/>
        </w:numPr>
        <w:spacing w:after="80" w:line="276"/>
      </w:pPr>
      <w:r>
        <w:rPr>
          <w:b/>
          <w:bCs/>
        </w:rPr>
        <w:t xml:space="preserve">Longitudinal extent: </w:t>
      </w:r>
      <w:r>
        <w:t xml:space="preserve">crack bars run the full span and embed straight into the support with no hook. They are crack-control steel, not flexural tension, so §2’s anchorage machinery does not apply. Embedment depth is residual question R2 (§11).</w:t>
      </w:r>
    </w:p>
    <w:p>
      <w:pPr>
        <w:pStyle w:val="ListParagraph"/>
        <w:numPr>
          <w:ilvl w:val="0"/>
          <w:numId w:val="2"/>
        </w:numPr>
        <w:spacing w:after="80" w:line="276"/>
      </w:pPr>
      <w:r>
        <w:rPr>
          <w:b/>
          <w:bCs/>
        </w:rPr>
        <w:t xml:space="preserve">Spacing validation: </w:t>
      </w:r>
      <w:r>
        <w:t xml:space="preserve">crack bars are exempt. One bar per side per layer leaves no horizontal spacing question, and their vertical positions are even by construction via actual_spacing.</w:t>
      </w:r>
    </w:p>
    <w:p>
      <w:pPr>
        <w:spacing w:after="60" w:before="160"/>
        <w:jc w:val="center"/>
      </w:pPr>
      <w:r>
        <w:drawing>
          <wp:inline distT="0" distB="0" distL="0" distR="0">
            <wp:extent cx="42862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4743450"/>
                    </a:xfrm>
                    <a:prstGeom prst="rect">
                      <a:avLst/>
                    </a:prstGeom>
                  </pic:spPr>
                </pic:pic>
              </a:graphicData>
            </a:graphic>
          </wp:inline>
        </w:drawing>
      </w:r>
    </w:p>
    <w:p>
      <w:pPr>
        <w:spacing w:after="200"/>
        <w:jc w:val="center"/>
      </w:pPr>
      <w:r>
        <w:rPr>
          <w:i/>
          <w:iCs/>
          <w:color w:val="595959"/>
          <w:sz w:val="18"/>
          <w:szCs w:val="18"/>
        </w:rPr>
        <w:t xml:space="preserve">Figure 4 — Crack/skin bar layers between main bar rows</w:t>
      </w:r>
    </w:p>
    <w:p>
      <w:pPr>
        <w:pStyle w:val="Heading1"/>
        <w:spacing w:after="160" w:before="320"/>
      </w:pPr>
      <w:r>
        <w:rPr>
          <w:b/>
          <w:bCs/>
          <w:color w:val="1F4E79"/>
          <w:sz w:val="30"/>
          <w:szCs w:val="30"/>
        </w:rPr>
        <w:t xml:space="preserve">6. Bar Spacing Rules (Cross-Section Arrangement)</w:t>
      </w:r>
    </w:p>
    <w:p>
      <w:pPr>
        <w:pStyle w:val="Heading2"/>
        <w:spacing w:after="120" w:before="240"/>
      </w:pPr>
      <w:r>
        <w:rPr>
          <w:b/>
          <w:bCs/>
          <w:color w:val="1F4E79"/>
          <w:sz w:val="25"/>
          <w:szCs w:val="25"/>
        </w:rPr>
        <w:t xml:space="preserve">6.1 Corner-bar rule</w:t>
      </w:r>
    </w:p>
    <w:p>
      <w:pPr>
        <w:spacing w:after="120" w:line="276"/>
      </w:pPr>
      <w:r>
        <w:t xml:space="preserve">A bar is always placed at each corner of the stirrup cage; remaining bars in that face are then distributed with equal spacing between the corner bars.</w:t>
      </w:r>
    </w:p>
    <w:p>
      <w:pPr>
        <w:pStyle w:val="Heading2"/>
        <w:spacing w:after="120" w:before="240"/>
      </w:pPr>
      <w:r>
        <w:rPr>
          <w:b/>
          <w:bCs/>
          <w:color w:val="1F4E79"/>
          <w:sz w:val="25"/>
          <w:szCs w:val="25"/>
        </w:rPr>
        <w:t xml:space="preserve">6.2 Minimum clear spacing between bars</w:t>
      </w:r>
    </w:p>
    <w:p>
      <w:pPr>
        <w:spacing w:after="0" w:before="60"/>
        <w:ind w:left="360"/>
      </w:pPr>
      <w:r>
        <w:rPr>
          <w:rFonts w:ascii="Consolas" w:cs="Consolas" w:eastAsia="Consolas" w:hAnsi="Consolas"/>
          <w:sz w:val="19"/>
          <w:szCs w:val="19"/>
        </w:rPr>
        <w:t xml:space="preserve">min_spacing = max( 25 mm, Øbar, 1.33 × Dagg )    — if Dagg is user-defined</w:t>
      </w:r>
    </w:p>
    <w:p>
      <w:pPr>
        <w:spacing w:after="0" w:before="0"/>
        <w:ind w:left="360"/>
      </w:pPr>
      <w:r>
        <w:rPr>
          <w:rFonts w:ascii="Consolas" w:cs="Consolas" w:eastAsia="Consolas" w:hAnsi="Consolas"/>
          <w:sz w:val="19"/>
          <w:szCs w:val="19"/>
        </w:rPr>
        <w:t xml:space="preserve">min_spacing = 50 mm                              — fallback, only if Dagg</w:t>
      </w:r>
    </w:p>
    <w:p>
      <w:pPr>
        <w:spacing w:after="140" w:before="0"/>
        <w:ind w:left="360"/>
      </w:pPr>
      <w:r>
        <w:rPr>
          <w:rFonts w:ascii="Consolas" w:cs="Consolas" w:eastAsia="Consolas" w:hAnsi="Consolas"/>
          <w:sz w:val="19"/>
          <w:szCs w:val="19"/>
        </w:rPr>
        <w:t xml:space="preserve">                                                   is NOT defined</w:t>
      </w:r>
    </w:p>
    <w:p>
      <w:pPr>
        <w:spacing w:after="120" w:line="276"/>
      </w:pPr>
      <w:r>
        <w:t xml:space="preserve">Dagg (max aggregate size), when provided, always governs over the 50 mm fallback. This rule constrains the horizontal direction only (A21).</w:t>
      </w:r>
    </w:p>
    <w:p>
      <w:pPr>
        <w:spacing w:after="120" w:line="276"/>
      </w:pPr>
      <w:r>
        <w:rPr>
          <w:b/>
          <w:bCs/>
        </w:rPr>
        <w:t xml:space="preserve">Optional override  [A29, #6]: </w:t>
      </w:r>
      <w:r>
        <w:t xml:space="preserve">a user-supplied override acts as a floor, never a reduction:</w:t>
      </w:r>
    </w:p>
    <w:p>
      <w:pPr>
        <w:spacing w:after="140" w:before="60"/>
        <w:ind w:left="360"/>
      </w:pPr>
      <w:r>
        <w:rPr>
          <w:rFonts w:ascii="Consolas" w:cs="Consolas" w:eastAsia="Consolas" w:hAnsi="Consolas"/>
          <w:sz w:val="19"/>
          <w:szCs w:val="19"/>
        </w:rPr>
        <w:t xml:space="preserve">governing_min_spacing = max( formula_result, user_override )</w:t>
      </w:r>
    </w:p>
    <w:p>
      <w:pPr>
        <w:spacing w:after="120" w:line="276"/>
      </w:pPr>
      <w:r>
        <w:t xml:space="preserve">The override can only increase the governing spacing, so it cannot be used to detail below the computed minimum.</w:t>
      </w:r>
    </w:p>
    <w:p>
      <w:pPr>
        <w:pStyle w:val="Heading2"/>
        <w:spacing w:after="120" w:before="240"/>
      </w:pPr>
      <w:r>
        <w:rPr>
          <w:b/>
          <w:bCs/>
          <w:color w:val="1F4E79"/>
          <w:sz w:val="25"/>
          <w:szCs w:val="25"/>
        </w:rPr>
        <w:t xml:space="preserve">6.3 Multi-layer bars (more than one row, same face)</w:t>
      </w:r>
    </w:p>
    <w:p>
      <w:pPr>
        <w:pStyle w:val="ListParagraph"/>
        <w:numPr>
          <w:ilvl w:val="0"/>
          <w:numId w:val="2"/>
        </w:numPr>
        <w:spacing w:after="80" w:line="276"/>
      </w:pPr>
      <w:r>
        <w:t xml:space="preserve">Up to 5 layers maximum per face.</w:t>
      </w:r>
    </w:p>
    <w:p>
      <w:pPr>
        <w:pStyle w:val="ListParagraph"/>
        <w:numPr>
          <w:ilvl w:val="0"/>
          <w:numId w:val="2"/>
        </w:numPr>
        <w:spacing w:after="80" w:line="276"/>
      </w:pPr>
      <w:r>
        <w:t xml:space="preserve">Option 1: single wide row (all bars in one line, no stacking).</w:t>
      </w:r>
    </w:p>
    <w:p>
      <w:pPr>
        <w:pStyle w:val="ListParagraph"/>
        <w:numPr>
          <w:ilvl w:val="0"/>
          <w:numId w:val="2"/>
        </w:numPr>
        <w:spacing w:after="80" w:line="276"/>
      </w:pPr>
      <w:r>
        <w:t xml:space="preserve">Option 2: stacked rows separated by a spacer bar of diameter Øspacer (default 16).</w:t>
      </w:r>
    </w:p>
    <w:p>
      <w:pPr>
        <w:spacing w:after="140" w:before="60"/>
        <w:ind w:left="360"/>
      </w:pPr>
      <w:r>
        <w:rPr>
          <w:rFonts w:ascii="Consolas" w:cs="Consolas" w:eastAsia="Consolas" w:hAnsi="Consolas"/>
          <w:sz w:val="19"/>
          <w:szCs w:val="19"/>
        </w:rPr>
        <w:t xml:space="preserve">spacer_length = b − 2×Cover − 2×Østirrup</w:t>
      </w:r>
    </w:p>
    <w:p>
      <w:pPr>
        <w:spacing w:after="120" w:line="276"/>
      </w:pPr>
      <w:r>
        <w:t xml:space="preserve">The user must be informed of resulting spacing per layer and the number of layers used, for both top and bottom faces independently.</w:t>
      </w:r>
    </w:p>
    <w:p>
      <w:pPr>
        <w:pStyle w:val="Heading2"/>
        <w:spacing w:after="120" w:before="240"/>
      </w:pPr>
      <w:r>
        <w:rPr>
          <w:b/>
          <w:bCs/>
          <w:color w:val="1F4E79"/>
          <w:sz w:val="25"/>
          <w:szCs w:val="25"/>
        </w:rPr>
        <w:t xml:space="preserve">6.4 Behaviour when spacing cannot be satisfied  [A27, A28, #6]</w:t>
      </w:r>
    </w:p>
    <w:p>
      <w:pPr>
        <w:spacing w:after="120" w:line="276"/>
      </w:pPr>
      <w:r>
        <w:t xml:space="preserve">The achieved clear spacing for n bars in one face is:</w:t>
      </w:r>
    </w:p>
    <w:p>
      <w:pPr>
        <w:spacing w:after="0" w:before="60"/>
        <w:ind w:left="360"/>
      </w:pPr>
      <w:r>
        <w:rPr>
          <w:rFonts w:ascii="Consolas" w:cs="Consolas" w:eastAsia="Consolas" w:hAnsi="Consolas"/>
          <w:sz w:val="19"/>
          <w:szCs w:val="19"/>
        </w:rPr>
        <w:t xml:space="preserve">clear = (b − 2×offset − n×Øbar) / (n − 1)      # offset per §4</w:t>
      </w:r>
    </w:p>
    <w:p>
      <w:pPr>
        <w:spacing w:after="0" w:before="0"/>
        <w:ind w:left="360"/>
      </w:pPr>
      <w:r>
        <w:rPr>
          <w:rFonts w:ascii="Consolas" w:cs="Consolas" w:eastAsia="Consolas" w:hAnsi="Consolas"/>
          <w:sz w:val="19"/>
          <w:szCs w:val="19"/>
        </w:rPr>
        <w:t xml:space="preserve"> </w:t>
      </w:r>
    </w:p>
    <w:p>
      <w:pPr>
        <w:spacing w:after="140" w:before="0"/>
        <w:ind w:left="360"/>
      </w:pPr>
      <w:r>
        <w:rPr>
          <w:rFonts w:ascii="Consolas" w:cs="Consolas" w:eastAsia="Consolas" w:hAnsi="Consolas"/>
          <w:sz w:val="19"/>
          <w:szCs w:val="19"/>
        </w:rPr>
        <w:t xml:space="preserve">invalid when clear &lt; governing_min_spacing</w:t>
      </w:r>
    </w:p>
    <w:p>
      <w:pPr>
        <w:spacing w:after="120" w:line="276"/>
      </w:pPr>
      <w:r>
        <w:t xml:space="preserve">On violation, behaviour follows the user’s §6.3 choice: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shd w:fill="DCE6F1" w:val="clear"/>
            <w:tcMar>
              <w:top w:type="dxa" w:w="80"/>
              <w:left w:type="dxa" w:w="120"/>
              <w:bottom w:type="dxa" w:w="80"/>
              <w:right w:type="dxa" w:w="120"/>
            </w:tcMar>
          </w:tcPr>
          <w:p>
            <w:pPr>
              <w:spacing w:after="0" w:line="264"/>
            </w:pPr>
            <w:r>
              <w:rPr>
                <w:b/>
                <w:bCs/>
                <w:sz w:val="19"/>
                <w:szCs w:val="19"/>
              </w:rPr>
              <w:t xml:space="preserve">§6.3 option</w:t>
            </w:r>
          </w:p>
        </w:tc>
        <w:tc>
          <w:tcPr>
            <w:tcW w:type="dxa" w:w="6138"/>
            <w:shd w:fill="DCE6F1" w:val="clear"/>
            <w:tcMar>
              <w:top w:type="dxa" w:w="80"/>
              <w:left w:type="dxa" w:w="120"/>
              <w:bottom w:type="dxa" w:w="80"/>
              <w:right w:type="dxa" w:w="120"/>
            </w:tcMar>
          </w:tcPr>
          <w:p>
            <w:pPr>
              <w:spacing w:after="0" w:line="264"/>
            </w:pPr>
            <w:r>
              <w:rPr>
                <w:b/>
                <w:bCs/>
                <w:sz w:val="19"/>
                <w:szCs w:val="19"/>
              </w:rPr>
              <w:t xml:space="preserve">Behaviour on violation</w:t>
            </w:r>
          </w:p>
        </w:tc>
      </w:tr>
      <w:tr>
        <w:tc>
          <w:tcPr>
            <w:tcW w:type="dxa" w:w="2888"/>
            <w:tcMar>
              <w:top w:type="dxa" w:w="80"/>
              <w:left w:type="dxa" w:w="120"/>
              <w:bottom w:type="dxa" w:w="80"/>
              <w:right w:type="dxa" w:w="120"/>
            </w:tcMar>
          </w:tcPr>
          <w:p>
            <w:pPr>
              <w:spacing w:after="0" w:line="264"/>
            </w:pPr>
            <w:r>
              <w:rPr>
                <w:sz w:val="19"/>
                <w:szCs w:val="19"/>
              </w:rPr>
              <w:t xml:space="preserve">Option 1 — single wide row</w:t>
            </w:r>
          </w:p>
        </w:tc>
        <w:tc>
          <w:tcPr>
            <w:tcW w:type="dxa" w:w="6138"/>
            <w:tcMar>
              <w:top w:type="dxa" w:w="80"/>
              <w:left w:type="dxa" w:w="120"/>
              <w:bottom w:type="dxa" w:w="80"/>
              <w:right w:type="dxa" w:w="120"/>
            </w:tcMar>
          </w:tcPr>
          <w:p>
            <w:pPr>
              <w:spacing w:after="0" w:line="264"/>
            </w:pPr>
            <w:r>
              <w:rPr>
                <w:sz w:val="19"/>
                <w:szCs w:val="19"/>
              </w:rPr>
              <w:t xml:space="preserve">Hard stop. Report the governing min_spacing and the achieved clear spacing; place nothing.</w:t>
            </w:r>
          </w:p>
        </w:tc>
      </w:tr>
      <w:tr>
        <w:tc>
          <w:tcPr>
            <w:tcW w:type="dxa" w:w="2888"/>
            <w:tcMar>
              <w:top w:type="dxa" w:w="80"/>
              <w:left w:type="dxa" w:w="120"/>
              <w:bottom w:type="dxa" w:w="80"/>
              <w:right w:type="dxa" w:w="120"/>
            </w:tcMar>
          </w:tcPr>
          <w:p>
            <w:pPr>
              <w:spacing w:after="0" w:line="264"/>
            </w:pPr>
            <w:r>
              <w:rPr>
                <w:sz w:val="19"/>
                <w:szCs w:val="19"/>
              </w:rPr>
              <w:t xml:space="preserve">Option 2 — stacked rows</w:t>
            </w:r>
          </w:p>
        </w:tc>
        <w:tc>
          <w:tcPr>
            <w:tcW w:type="dxa" w:w="6138"/>
            <w:tcMar>
              <w:top w:type="dxa" w:w="80"/>
              <w:left w:type="dxa" w:w="120"/>
              <w:bottom w:type="dxa" w:w="80"/>
              <w:right w:type="dxa" w:w="120"/>
            </w:tcMar>
          </w:tcPr>
          <w:p>
            <w:pPr>
              <w:spacing w:after="0" w:line="264"/>
            </w:pPr>
            <w:r>
              <w:rPr>
                <w:sz w:val="19"/>
                <w:szCs w:val="19"/>
              </w:rPr>
              <w:t xml:space="preserve">Auto-stack into additional layers until spacing is satisfied, capped at 5 layers, then report the resulting layer count and per-layer spacing.</w:t>
            </w:r>
          </w:p>
        </w:tc>
      </w:tr>
    </w:tbl>
    <w:p>
      <w:pPr>
        <w:spacing w:after="120" w:line="276"/>
      </w:pPr>
      <w:r>
        <w:t xml:space="preserve">If 5 layers cannot satisfy the governing minimum, that is a hard error in both options. The cap is absolute.</w:t>
      </w:r>
    </w:p>
    <w:p>
      <w:pPr>
        <w:spacing w:after="120" w:line="276"/>
      </w:pPr>
      <w:r>
        <w:t xml:space="preserve">Note: stacking layers does reduce effective depth d for rows beyond the first. That is not accounted for here, since this tool performs no capacity or crack-width analysis — detailing only.</w:t>
      </w:r>
    </w:p>
    <w:p>
      <w:pPr>
        <w:pStyle w:val="Heading1"/>
        <w:spacing w:after="160" w:before="320"/>
      </w:pPr>
      <w:r>
        <w:rPr>
          <w:b/>
          <w:bCs/>
          <w:color w:val="1F4E79"/>
          <w:sz w:val="30"/>
          <w:szCs w:val="30"/>
        </w:rPr>
        <w:t xml:space="preserve">7. Stirrup Type (Closure / Hook Style)</w:t>
      </w:r>
    </w:p>
    <w:p>
      <w:pPr>
        <w:spacing w:after="120" w:line="276"/>
      </w:pPr>
      <w:r>
        <w:t xml:space="preserve">Aligned to CADS Rebar Extensions convention — stirrup “type” governs the closure and hook style of a single 2-leg perimeter stirrup, not leg count. Multi-leg crossties are out of scope for this tool, as in CADS’s base beam tool.</w:t>
      </w:r>
    </w:p>
    <w:p>
      <w:pPr>
        <w:pStyle w:val="Heading2"/>
        <w:spacing w:after="120" w:before="240"/>
      </w:pPr>
      <w:r>
        <w:rPr>
          <w:b/>
          <w:bCs/>
          <w:color w:val="1F4E79"/>
          <w:sz w:val="25"/>
          <w:szCs w:val="25"/>
        </w:rPr>
        <w:t xml:space="preserve">7.1 Leg dimensions  [A30, #10]</w:t>
      </w:r>
    </w:p>
    <w:p>
      <w:pPr>
        <w:spacing w:after="120" w:line="276"/>
      </w:pPr>
      <w:r>
        <w:t xml:space="preserve">Since §1 defines cover as measured to the stirrup outer face:</w:t>
      </w:r>
    </w:p>
    <w:p>
      <w:pPr>
        <w:spacing w:after="0" w:before="60"/>
        <w:ind w:left="360"/>
      </w:pPr>
      <w:r>
        <w:rPr>
          <w:rFonts w:ascii="Consolas" w:cs="Consolas" w:eastAsia="Consolas" w:hAnsi="Consolas"/>
          <w:sz w:val="19"/>
          <w:szCs w:val="19"/>
        </w:rPr>
        <w:t xml:space="preserve">OUTER rectangle      = (b − 2·Cover)             × (h − 2·Cover)</w:t>
      </w:r>
    </w:p>
    <w:p>
      <w:pPr>
        <w:spacing w:after="140" w:before="0"/>
        <w:ind w:left="360"/>
      </w:pPr>
      <w:r>
        <w:rPr>
          <w:rFonts w:ascii="Consolas" w:cs="Consolas" w:eastAsia="Consolas" w:hAnsi="Consolas"/>
          <w:sz w:val="19"/>
          <w:szCs w:val="19"/>
        </w:rPr>
        <w:t xml:space="preserve">CENTRELINE rectangle = (b − 2·Cover − Østirrup) × (h − 2·Cover − Østirrup)</w:t>
      </w:r>
    </w:p>
    <w:p>
      <w:pPr>
        <w:spacing w:after="120" w:line="276"/>
      </w:pPr>
      <w:r>
        <w:t xml:space="preserve">The centreline rectangle is what the Revit API receives. The centreline sits ½Østirrup inside the outer face on each of two opposing sides, hence one full Østirrup subtracted per dimension.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2F2" w:val="clear"/>
            <w:tcMar>
              <w:top w:type="dxa" w:w="120"/>
              <w:left w:type="dxa" w:w="160"/>
              <w:bottom w:type="dxa" w:w="120"/>
              <w:right w:type="dxa" w:w="160"/>
            </w:tcMar>
          </w:tcPr>
          <w:p>
            <w:pPr>
              <w:spacing w:after="60"/>
            </w:pPr>
            <w:r>
              <w:rPr>
                <w:b/>
                <w:bCs/>
                <w:color w:val="7F0000"/>
                <w:sz w:val="18"/>
                <w:szCs w:val="18"/>
              </w:rPr>
              <w:t xml:space="preserve">A30 [#10] — OPEN ITEM 3 CLOSED: DERIVED, NOT INVENTED</w:t>
            </w:r>
          </w:p>
          <w:p>
            <w:pPr>
              <w:spacing w:after="60" w:line="264"/>
            </w:pPr>
            <w:r>
              <w:rPr>
                <w:sz w:val="19"/>
                <w:szCs w:val="19"/>
              </w:rPr>
              <w:t xml:space="preserve">Revision 1 referenced stirrup leg dimensions conceptually but never reduced them to formulas. The formula above is a derivation from §1’s own cover definition, independently corroborated by two unrelated existing formulas:</w:t>
            </w:r>
          </w:p>
          <w:p>
            <w:pPr>
              <w:spacing w:after="60" w:line="264"/>
            </w:pPr>
            <w:r>
              <w:rPr>
                <w:sz w:val="19"/>
                <w:szCs w:val="19"/>
              </w:rPr>
              <w:t xml:space="preserve">Check 1 — §6.3’s spacer length. The spacer spans between the inner faces of the two vertical legs, each at Cover + Østirrup from its beam face, giving b − 2·Cover − 2·Østirrup. That is exactly §6.3’s spacer_length.</w:t>
            </w:r>
          </w:p>
          <w:p>
            <w:pPr>
              <w:spacing w:after="60" w:line="264"/>
            </w:pPr>
            <w:r>
              <w:rPr>
                <w:sz w:val="19"/>
                <w:szCs w:val="19"/>
              </w:rPr>
              <w:t xml:space="preserve">Check 2 — §4’s main bar offset. A bar bearing on the stirrup’s inner face has its centreline at (Cover + Østirrup) + ½Øbar. That is exactly §4’s offset formula.</w:t>
            </w:r>
          </w:p>
          <w:p>
            <w:pPr>
              <w:spacing w:after="0" w:line="264"/>
            </w:pPr>
            <w:r>
              <w:rPr>
                <w:sz w:val="19"/>
                <w:szCs w:val="19"/>
              </w:rPr>
              <w:t xml:space="preserve">Two independent formulas fall out of the same cover interpretation, so this is the reading the spec was already using implicitly.</w:t>
            </w:r>
          </w:p>
        </w:tc>
      </w:tr>
    </w:tbl>
    <w:p>
      <w:pPr>
        <w:pStyle w:val="Heading2"/>
        <w:spacing w:after="120" w:before="240"/>
      </w:pPr>
      <w:r>
        <w:rPr>
          <w:b/>
          <w:bCs/>
          <w:color w:val="1F4E79"/>
          <w:sz w:val="25"/>
          <w:szCs w:val="25"/>
        </w:rPr>
        <w:t xml:space="preserve">7.2 Closure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12"/>
        <w:gridCol w:w="6408"/>
        <w:gridCol w:w="1805"/>
      </w:tblGrid>
      <w:tr>
        <w:trPr>
          <w:tblHeader/>
        </w:trPr>
        <w:tc>
          <w:tcPr>
            <w:tcW w:type="dxa" w:w="812"/>
            <w:shd w:fill="DCE6F1" w:val="clear"/>
            <w:tcMar>
              <w:top w:type="dxa" w:w="80"/>
              <w:left w:type="dxa" w:w="120"/>
              <w:bottom w:type="dxa" w:w="80"/>
              <w:right w:type="dxa" w:w="120"/>
            </w:tcMar>
          </w:tcPr>
          <w:p>
            <w:pPr>
              <w:spacing w:after="0" w:line="264"/>
            </w:pPr>
            <w:r>
              <w:rPr>
                <w:b/>
                <w:bCs/>
                <w:sz w:val="19"/>
                <w:szCs w:val="19"/>
              </w:rPr>
              <w:t xml:space="preserve">Type</w:t>
            </w:r>
          </w:p>
        </w:tc>
        <w:tc>
          <w:tcPr>
            <w:tcW w:type="dxa" w:w="6408"/>
            <w:shd w:fill="DCE6F1" w:val="clear"/>
            <w:tcMar>
              <w:top w:type="dxa" w:w="80"/>
              <w:left w:type="dxa" w:w="120"/>
              <w:bottom w:type="dxa" w:w="80"/>
              <w:right w:type="dxa" w:w="120"/>
            </w:tcMar>
          </w:tcPr>
          <w:p>
            <w:pPr>
              <w:spacing w:after="0" w:line="264"/>
            </w:pPr>
            <w:r>
              <w:rPr>
                <w:b/>
                <w:bCs/>
                <w:sz w:val="19"/>
                <w:szCs w:val="19"/>
              </w:rPr>
              <w:t xml:space="preserve">Description</w:t>
            </w:r>
          </w:p>
        </w:tc>
        <w:tc>
          <w:tcPr>
            <w:tcW w:type="dxa" w:w="1805"/>
            <w:shd w:fill="DCE6F1" w:val="clear"/>
            <w:tcMar>
              <w:top w:type="dxa" w:w="80"/>
              <w:left w:type="dxa" w:w="120"/>
              <w:bottom w:type="dxa" w:w="80"/>
              <w:right w:type="dxa" w:w="120"/>
            </w:tcMar>
          </w:tcPr>
          <w:p>
            <w:pPr>
              <w:spacing w:after="0" w:line="264"/>
            </w:pPr>
            <w:r>
              <w:rPr>
                <w:b/>
                <w:bCs/>
                <w:sz w:val="19"/>
                <w:szCs w:val="19"/>
              </w:rPr>
              <w:t xml:space="preserve">v1</w:t>
            </w:r>
          </w:p>
        </w:tc>
      </w:tr>
      <w:tr>
        <w:tc>
          <w:tcPr>
            <w:tcW w:type="dxa" w:w="812"/>
            <w:tcMar>
              <w:top w:type="dxa" w:w="80"/>
              <w:left w:type="dxa" w:w="120"/>
              <w:bottom w:type="dxa" w:w="80"/>
              <w:right w:type="dxa" w:w="120"/>
            </w:tcMar>
          </w:tcPr>
          <w:p>
            <w:pPr>
              <w:spacing w:after="0" w:line="264"/>
            </w:pPr>
            <w:r>
              <w:rPr>
                <w:sz w:val="19"/>
                <w:szCs w:val="19"/>
              </w:rPr>
              <w:t xml:space="preserve">1</w:t>
            </w:r>
          </w:p>
        </w:tc>
        <w:tc>
          <w:tcPr>
            <w:tcW w:type="dxa" w:w="6408"/>
            <w:tcMar>
              <w:top w:type="dxa" w:w="80"/>
              <w:left w:type="dxa" w:w="120"/>
              <w:bottom w:type="dxa" w:w="80"/>
              <w:right w:type="dxa" w:w="120"/>
            </w:tcMar>
          </w:tcPr>
          <w:p>
            <w:pPr>
              <w:spacing w:after="0" w:line="264"/>
            </w:pPr>
            <w:r>
              <w:rPr>
                <w:sz w:val="19"/>
                <w:szCs w:val="19"/>
              </w:rPr>
              <w:t xml:space="preserve">Closed perimeter, hook overlap at top-right corner</w:t>
            </w:r>
          </w:p>
        </w:tc>
        <w:tc>
          <w:tcPr>
            <w:tcW w:type="dxa" w:w="1805"/>
            <w:tcMar>
              <w:top w:type="dxa" w:w="80"/>
              <w:left w:type="dxa" w:w="120"/>
              <w:bottom w:type="dxa" w:w="80"/>
              <w:right w:type="dxa" w:w="120"/>
            </w:tcMar>
          </w:tcPr>
          <w:p>
            <w:pPr>
              <w:spacing w:after="0" w:line="264"/>
            </w:pPr>
            <w:r>
              <w:rPr>
                <w:sz w:val="19"/>
                <w:szCs w:val="19"/>
              </w:rPr>
              <w:t xml:space="preserve">Ships</w:t>
            </w:r>
          </w:p>
        </w:tc>
      </w:tr>
      <w:tr>
        <w:tc>
          <w:tcPr>
            <w:tcW w:type="dxa" w:w="812"/>
            <w:tcMar>
              <w:top w:type="dxa" w:w="80"/>
              <w:left w:type="dxa" w:w="120"/>
              <w:bottom w:type="dxa" w:w="80"/>
              <w:right w:type="dxa" w:w="120"/>
            </w:tcMar>
          </w:tcPr>
          <w:p>
            <w:pPr>
              <w:spacing w:after="0" w:line="264"/>
            </w:pPr>
            <w:r>
              <w:rPr>
                <w:sz w:val="19"/>
                <w:szCs w:val="19"/>
              </w:rPr>
              <w:t xml:space="preserve">2</w:t>
            </w:r>
          </w:p>
        </w:tc>
        <w:tc>
          <w:tcPr>
            <w:tcW w:type="dxa" w:w="6408"/>
            <w:tcMar>
              <w:top w:type="dxa" w:w="80"/>
              <w:left w:type="dxa" w:w="120"/>
              <w:bottom w:type="dxa" w:w="80"/>
              <w:right w:type="dxa" w:w="120"/>
            </w:tcMar>
          </w:tcPr>
          <w:p>
            <w:pPr>
              <w:spacing w:after="0" w:line="264"/>
            </w:pPr>
            <w:r>
              <w:rPr>
                <w:sz w:val="19"/>
                <w:szCs w:val="19"/>
              </w:rPr>
              <w:t xml:space="preserve">Closed perimeter, hook overlap at top-left corner</w:t>
            </w:r>
          </w:p>
        </w:tc>
        <w:tc>
          <w:tcPr>
            <w:tcW w:type="dxa" w:w="1805"/>
            <w:tcMar>
              <w:top w:type="dxa" w:w="80"/>
              <w:left w:type="dxa" w:w="120"/>
              <w:bottom w:type="dxa" w:w="80"/>
              <w:right w:type="dxa" w:w="120"/>
            </w:tcMar>
          </w:tcPr>
          <w:p>
            <w:pPr>
              <w:spacing w:after="0" w:line="264"/>
            </w:pPr>
            <w:r>
              <w:rPr>
                <w:sz w:val="19"/>
                <w:szCs w:val="19"/>
              </w:rPr>
              <w:t xml:space="preserve">Ships</w:t>
            </w:r>
          </w:p>
        </w:tc>
      </w:tr>
      <w:tr>
        <w:tc>
          <w:tcPr>
            <w:tcW w:type="dxa" w:w="812"/>
            <w:tcMar>
              <w:top w:type="dxa" w:w="80"/>
              <w:left w:type="dxa" w:w="120"/>
              <w:bottom w:type="dxa" w:w="80"/>
              <w:right w:type="dxa" w:w="120"/>
            </w:tcMar>
          </w:tcPr>
          <w:p>
            <w:pPr>
              <w:spacing w:after="0" w:line="264"/>
            </w:pPr>
            <w:r>
              <w:rPr>
                <w:sz w:val="19"/>
                <w:szCs w:val="19"/>
              </w:rPr>
              <w:t xml:space="preserve">3</w:t>
            </w:r>
          </w:p>
        </w:tc>
        <w:tc>
          <w:tcPr>
            <w:tcW w:type="dxa" w:w="6408"/>
            <w:tcMar>
              <w:top w:type="dxa" w:w="80"/>
              <w:left w:type="dxa" w:w="120"/>
              <w:bottom w:type="dxa" w:w="80"/>
              <w:right w:type="dxa" w:w="120"/>
            </w:tcMar>
          </w:tcPr>
          <w:p>
            <w:pPr>
              <w:spacing w:after="0" w:line="264"/>
            </w:pPr>
            <w:r>
              <w:rPr>
                <w:sz w:val="19"/>
                <w:szCs w:val="19"/>
              </w:rPr>
              <w:t xml:space="preserve">Nested double perimeter (inner closed loop) — for larger sections needing extra confinement</w:t>
            </w:r>
          </w:p>
        </w:tc>
        <w:tc>
          <w:tcPr>
            <w:tcW w:type="dxa" w:w="1805"/>
            <w:tcMar>
              <w:top w:type="dxa" w:w="80"/>
              <w:left w:type="dxa" w:w="120"/>
              <w:bottom w:type="dxa" w:w="80"/>
              <w:right w:type="dxa" w:w="120"/>
            </w:tcMar>
          </w:tcPr>
          <w:p>
            <w:pPr>
              <w:spacing w:after="0" w:line="264"/>
            </w:pPr>
            <w:r>
              <w:rPr>
                <w:sz w:val="19"/>
                <w:szCs w:val="19"/>
              </w:rPr>
              <w:t xml:space="preserve">PARKED</w:t>
            </w:r>
          </w:p>
        </w:tc>
      </w:tr>
      <w:tr>
        <w:tc>
          <w:tcPr>
            <w:tcW w:type="dxa" w:w="812"/>
            <w:tcMar>
              <w:top w:type="dxa" w:w="80"/>
              <w:left w:type="dxa" w:w="120"/>
              <w:bottom w:type="dxa" w:w="80"/>
              <w:right w:type="dxa" w:w="120"/>
            </w:tcMar>
          </w:tcPr>
          <w:p>
            <w:pPr>
              <w:spacing w:after="0" w:line="264"/>
            </w:pPr>
            <w:r>
              <w:rPr>
                <w:sz w:val="19"/>
                <w:szCs w:val="19"/>
              </w:rPr>
              <w:t xml:space="preserve">4</w:t>
            </w:r>
          </w:p>
        </w:tc>
        <w:tc>
          <w:tcPr>
            <w:tcW w:type="dxa" w:w="6408"/>
            <w:tcMar>
              <w:top w:type="dxa" w:w="80"/>
              <w:left w:type="dxa" w:w="120"/>
              <w:bottom w:type="dxa" w:w="80"/>
              <w:right w:type="dxa" w:w="120"/>
            </w:tcMar>
          </w:tcPr>
          <w:p>
            <w:pPr>
              <w:spacing w:after="0" w:line="264"/>
            </w:pPr>
            <w:r>
              <w:rPr>
                <w:sz w:val="19"/>
                <w:szCs w:val="19"/>
              </w:rPr>
              <w:t xml:space="preserve">Open U-shape, no top closure (hooks at both top ends instead)</w:t>
            </w:r>
          </w:p>
        </w:tc>
        <w:tc>
          <w:tcPr>
            <w:tcW w:type="dxa" w:w="1805"/>
            <w:tcMar>
              <w:top w:type="dxa" w:w="80"/>
              <w:left w:type="dxa" w:w="120"/>
              <w:bottom w:type="dxa" w:w="80"/>
              <w:right w:type="dxa" w:w="120"/>
            </w:tcMar>
          </w:tcPr>
          <w:p>
            <w:pPr>
              <w:spacing w:after="0" w:line="264"/>
            </w:pPr>
            <w:r>
              <w:rPr>
                <w:sz w:val="19"/>
                <w:szCs w:val="19"/>
              </w:rPr>
              <w:t xml:space="preserve">Ships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2F2" w:val="clear"/>
            <w:tcMar>
              <w:top w:type="dxa" w:w="120"/>
              <w:left w:type="dxa" w:w="160"/>
              <w:bottom w:type="dxa" w:w="120"/>
              <w:right w:type="dxa" w:w="160"/>
            </w:tcMar>
          </w:tcPr>
          <w:p>
            <w:pPr>
              <w:spacing w:after="60"/>
            </w:pPr>
            <w:r>
              <w:rPr>
                <w:b/>
                <w:bCs/>
                <w:color w:val="7F0000"/>
                <w:sz w:val="18"/>
                <w:szCs w:val="18"/>
              </w:rPr>
              <w:t xml:space="preserve">A31 [#7] — CHANGED: TYPE 3 IS PARKED; THE INPUT NARROWS TO (1, 2, 4)</w:t>
            </w:r>
          </w:p>
          <w:p>
            <w:pPr>
              <w:spacing w:after="60" w:line="264"/>
            </w:pPr>
            <w:r>
              <w:rPr>
                <w:sz w:val="19"/>
                <w:szCs w:val="19"/>
              </w:rPr>
              <w:t xml:space="preserve">Type 3 requires two separate Rebar elements (outer loop plus inner loop), since the API has no single multi-loop rebar element. That part is workable.</w:t>
            </w:r>
          </w:p>
          <w:p>
            <w:pPr>
              <w:spacing w:after="0" w:line="264"/>
            </w:pPr>
            <w:r>
              <w:rPr>
                <w:sz w:val="19"/>
                <w:szCs w:val="19"/>
              </w:rPr>
              <w:t xml:space="preserve">What blocks it: the inner loop’s dimensions, diameter and corner rule are entirely undefined in this spec. §7.1 dimensions only the outer perimeter. Inventing an inner-loop rule is prohibited, so type 3 waits for a spec amendment. This is residual question R6 (§11).</w:t>
            </w:r>
          </w:p>
        </w:tc>
      </w:tr>
    </w:tbl>
    <w:p>
      <w:pPr>
        <w:spacing w:after="120" w:line="276"/>
      </w:pPr>
      <w:r>
        <w:rPr>
          <w:b/>
          <w:bCs/>
        </w:rPr>
        <w:t xml:space="preserve">Types 1 vs 2  [A32, #7]: </w:t>
      </w:r>
      <w:r>
        <w:t xml:space="preserve">type 2 is type 1 with the same 4-curve loop and the same winding direction, cyclically rotated so that a different corner becomes the first curve. This is one parameterized code path taking a starting-corner index — not two separate constructions, and not a reversed loop, which would flip which face the hook swings toward.</w:t>
      </w:r>
    </w:p>
    <w:p>
      <w:pPr>
        <w:pStyle w:val="Heading2"/>
        <w:spacing w:after="120" w:before="240"/>
      </w:pPr>
      <w:r>
        <w:rPr>
          <w:b/>
          <w:bCs/>
          <w:color w:val="1F4E79"/>
          <w:sz w:val="25"/>
          <w:szCs w:val="25"/>
        </w:rPr>
        <w:t xml:space="preserve">7.3 Hook geometry  [A33, A34, #13]</w:t>
      </w:r>
    </w:p>
    <w:p>
      <w:pPr>
        <w:pStyle w:val="ListParagraph"/>
        <w:numPr>
          <w:ilvl w:val="0"/>
          <w:numId w:val="2"/>
        </w:numPr>
        <w:spacing w:after="80" w:line="276"/>
      </w:pPr>
      <w:r>
        <w:rPr>
          <w:b/>
          <w:bCs/>
        </w:rPr>
        <w:t xml:space="preserve">Angle: </w:t>
      </w:r>
      <w:r>
        <w:t xml:space="preserve">fixed at 180° semicircular. This is the ECP / BS detail for plain round mild steel, which requires a full hook because it lacks the bond of deformed bar. Not a per-run user input.</w:t>
      </w:r>
    </w:p>
    <w:p>
      <w:pPr>
        <w:pStyle w:val="ListParagraph"/>
        <w:numPr>
          <w:ilvl w:val="0"/>
          <w:numId w:val="2"/>
        </w:numPr>
        <w:spacing w:after="80" w:line="276"/>
      </w:pPr>
      <w:r>
        <w:rPr>
          <w:b/>
          <w:bCs/>
        </w:rPr>
        <w:t xml:space="preserve">Length: </w:t>
      </w:r>
      <w:r>
        <w:t xml:space="preserve">derived from bar diameter via the hook type’s multiplier mechanism. Not exposed as a user input.</w:t>
      </w:r>
    </w:p>
    <w:p>
      <w:pPr>
        <w:pStyle w:val="ListParagraph"/>
        <w:numPr>
          <w:ilvl w:val="0"/>
          <w:numId w:val="2"/>
        </w:numPr>
        <w:spacing w:after="80" w:line="276"/>
      </w:pPr>
      <w:r>
        <w:rPr>
          <w:b/>
          <w:bCs/>
        </w:rPr>
        <w:t xml:space="preserve">Bar type: </w:t>
      </w:r>
      <w:r>
        <w:t xml:space="preserve">stirrups are placed with the mild St 24/35 bar type; every other bar uses high tensile St 36/52 (§1.1).</w:t>
      </w:r>
    </w:p>
    <w:p>
      <w:pPr>
        <w:spacing w:after="60" w:before="160"/>
        <w:jc w:val="center"/>
      </w:pPr>
      <w:r>
        <w:drawing>
          <wp:inline distT="0" distB="0" distL="0" distR="0">
            <wp:extent cx="42862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590550"/>
                    </a:xfrm>
                    <a:prstGeom prst="rect">
                      <a:avLst/>
                    </a:prstGeom>
                  </pic:spPr>
                </pic:pic>
              </a:graphicData>
            </a:graphic>
          </wp:inline>
        </w:drawing>
      </w:r>
    </w:p>
    <w:p>
      <w:pPr>
        <w:spacing w:after="200"/>
        <w:jc w:val="center"/>
      </w:pPr>
      <w:r>
        <w:rPr>
          <w:i/>
          <w:iCs/>
          <w:color w:val="595959"/>
          <w:sz w:val="18"/>
          <w:szCs w:val="18"/>
        </w:rPr>
        <w:t xml:space="preserve">Figure 5 — Stirrup closure/hook type variants (CADS-aligned)</w:t>
      </w:r>
    </w:p>
    <w:p>
      <w:pPr>
        <w:pStyle w:val="Heading1"/>
        <w:spacing w:after="160" w:before="320"/>
      </w:pPr>
      <w:r>
        <w:rPr>
          <w:b/>
          <w:bCs/>
          <w:color w:val="1F4E79"/>
          <w:sz w:val="30"/>
          <w:szCs w:val="30"/>
        </w:rPr>
        <w:t xml:space="preserve">8. Summary — User Inputs vs. Calculated Outputs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4"/>
        <w:gridCol w:w="4062"/>
        <w:gridCol w:w="3430"/>
      </w:tblGrid>
      <w:tr>
        <w:trPr>
          <w:tblHeader/>
        </w:trPr>
        <w:tc>
          <w:tcPr>
            <w:tcW w:type="dxa" w:w="1534"/>
            <w:shd w:fill="DCE6F1" w:val="clear"/>
            <w:tcMar>
              <w:top w:type="dxa" w:w="80"/>
              <w:left w:type="dxa" w:w="120"/>
              <w:bottom w:type="dxa" w:w="80"/>
              <w:right w:type="dxa" w:w="120"/>
            </w:tcMar>
          </w:tcPr>
          <w:p>
            <w:pPr>
              <w:spacing w:after="0" w:line="264"/>
            </w:pPr>
            <w:r>
              <w:rPr>
                <w:b/>
                <w:bCs/>
                <w:sz w:val="19"/>
                <w:szCs w:val="19"/>
              </w:rPr>
              <w:t xml:space="preserve">Category</w:t>
            </w:r>
          </w:p>
        </w:tc>
        <w:tc>
          <w:tcPr>
            <w:tcW w:type="dxa" w:w="4062"/>
            <w:shd w:fill="DCE6F1" w:val="clear"/>
            <w:tcMar>
              <w:top w:type="dxa" w:w="80"/>
              <w:left w:type="dxa" w:w="120"/>
              <w:bottom w:type="dxa" w:w="80"/>
              <w:right w:type="dxa" w:w="120"/>
            </w:tcMar>
          </w:tcPr>
          <w:p>
            <w:pPr>
              <w:spacing w:after="0" w:line="264"/>
            </w:pPr>
            <w:r>
              <w:rPr>
                <w:b/>
                <w:bCs/>
                <w:sz w:val="19"/>
                <w:szCs w:val="19"/>
              </w:rPr>
              <w:t xml:space="preserve">User Input</w:t>
            </w:r>
          </w:p>
        </w:tc>
        <w:tc>
          <w:tcPr>
            <w:tcW w:type="dxa" w:w="3430"/>
            <w:shd w:fill="DCE6F1" w:val="clear"/>
            <w:tcMar>
              <w:top w:type="dxa" w:w="80"/>
              <w:left w:type="dxa" w:w="120"/>
              <w:bottom w:type="dxa" w:w="80"/>
              <w:right w:type="dxa" w:w="120"/>
            </w:tcMar>
          </w:tcPr>
          <w:p>
            <w:pPr>
              <w:spacing w:after="0" w:line="264"/>
            </w:pPr>
            <w:r>
              <w:rPr>
                <w:b/>
                <w:bCs/>
                <w:sz w:val="19"/>
                <w:szCs w:val="19"/>
              </w:rPr>
              <w:t xml:space="preserve">Calculated</w:t>
            </w:r>
          </w:p>
        </w:tc>
      </w:tr>
      <w:tr>
        <w:tc>
          <w:tcPr>
            <w:tcW w:type="dxa" w:w="1534"/>
            <w:tcMar>
              <w:top w:type="dxa" w:w="80"/>
              <w:left w:type="dxa" w:w="120"/>
              <w:bottom w:type="dxa" w:w="80"/>
              <w:right w:type="dxa" w:w="120"/>
            </w:tcMar>
          </w:tcPr>
          <w:p>
            <w:pPr>
              <w:spacing w:after="0" w:line="264"/>
            </w:pPr>
            <w:r>
              <w:rPr>
                <w:sz w:val="19"/>
                <w:szCs w:val="19"/>
              </w:rPr>
              <w:t xml:space="preserve">Geometry</w:t>
            </w:r>
          </w:p>
        </w:tc>
        <w:tc>
          <w:tcPr>
            <w:tcW w:type="dxa" w:w="4062"/>
            <w:tcMar>
              <w:top w:type="dxa" w:w="80"/>
              <w:left w:type="dxa" w:w="120"/>
              <w:bottom w:type="dxa" w:w="80"/>
              <w:right w:type="dxa" w:w="120"/>
            </w:tcMar>
          </w:tcPr>
          <w:p>
            <w:pPr>
              <w:spacing w:after="0" w:line="264"/>
            </w:pPr>
            <w:r>
              <w:rPr>
                <w:sz w:val="19"/>
                <w:szCs w:val="19"/>
              </w:rPr>
              <w:t xml:space="preserve">L, b, h, cover — pre-filled from the picked beam, editable. Dagg (optional)</w:t>
            </w:r>
          </w:p>
        </w:tc>
        <w:tc>
          <w:tcPr>
            <w:tcW w:type="dxa" w:w="3430"/>
            <w:tcMar>
              <w:top w:type="dxa" w:w="80"/>
              <w:left w:type="dxa" w:w="120"/>
              <w:bottom w:type="dxa" w:w="80"/>
              <w:right w:type="dxa" w:w="120"/>
            </w:tcMar>
          </w:tcPr>
          <w:p>
            <w:pPr>
              <w:spacing w:after="0" w:line="264"/>
            </w:pPr>
            <w:r>
              <w:rPr>
                <w:sz w:val="19"/>
                <w:szCs w:val="19"/>
              </w:rPr>
              <w:t xml:space="preserve">—</w:t>
            </w:r>
          </w:p>
        </w:tc>
      </w:tr>
      <w:tr>
        <w:tc>
          <w:tcPr>
            <w:tcW w:type="dxa" w:w="1534"/>
            <w:tcMar>
              <w:top w:type="dxa" w:w="80"/>
              <w:left w:type="dxa" w:w="120"/>
              <w:bottom w:type="dxa" w:w="80"/>
              <w:right w:type="dxa" w:w="120"/>
            </w:tcMar>
          </w:tcPr>
          <w:p>
            <w:pPr>
              <w:spacing w:after="0" w:line="264"/>
            </w:pPr>
            <w:r>
              <w:rPr>
                <w:sz w:val="19"/>
                <w:szCs w:val="19"/>
              </w:rPr>
              <w:t xml:space="preserve">Support</w:t>
            </w:r>
          </w:p>
        </w:tc>
        <w:tc>
          <w:tcPr>
            <w:tcW w:type="dxa" w:w="4062"/>
            <w:tcMar>
              <w:top w:type="dxa" w:w="80"/>
              <w:left w:type="dxa" w:w="120"/>
              <w:bottom w:type="dxa" w:w="80"/>
              <w:right w:type="dxa" w:w="120"/>
            </w:tcMar>
          </w:tcPr>
          <w:p>
            <w:pPr>
              <w:spacing w:after="0" w:line="264"/>
            </w:pPr>
            <w:r>
              <w:rPr>
                <w:sz w:val="19"/>
                <w:szCs w:val="19"/>
              </w:rPr>
              <w:t xml:space="preserve">Support width per end — pre-filled from the detected support, editable</w:t>
            </w:r>
          </w:p>
        </w:tc>
        <w:tc>
          <w:tcPr>
            <w:tcW w:type="dxa" w:w="3430"/>
            <w:tcMar>
              <w:top w:type="dxa" w:w="80"/>
              <w:left w:type="dxa" w:w="120"/>
              <w:bottom w:type="dxa" w:w="80"/>
              <w:right w:type="dxa" w:w="120"/>
            </w:tcMar>
          </w:tcPr>
          <w:p>
            <w:pPr>
              <w:spacing w:after="0" w:line="264"/>
            </w:pPr>
            <w:r>
              <w:rPr>
                <w:sz w:val="19"/>
                <w:szCs w:val="19"/>
              </w:rPr>
              <w:t xml:space="preserve">a / b legs, hook geometry</w:t>
            </w:r>
          </w:p>
        </w:tc>
      </w:tr>
      <w:tr>
        <w:tc>
          <w:tcPr>
            <w:tcW w:type="dxa" w:w="1534"/>
            <w:tcMar>
              <w:top w:type="dxa" w:w="80"/>
              <w:left w:type="dxa" w:w="120"/>
              <w:bottom w:type="dxa" w:w="80"/>
              <w:right w:type="dxa" w:w="120"/>
            </w:tcMar>
          </w:tcPr>
          <w:p>
            <w:pPr>
              <w:spacing w:after="0" w:line="264"/>
            </w:pPr>
            <w:r>
              <w:rPr>
                <w:sz w:val="19"/>
                <w:szCs w:val="19"/>
              </w:rPr>
              <w:t xml:space="preserve">Materials</w:t>
            </w:r>
          </w:p>
        </w:tc>
        <w:tc>
          <w:tcPr>
            <w:tcW w:type="dxa" w:w="4062"/>
            <w:tcMar>
              <w:top w:type="dxa" w:w="80"/>
              <w:left w:type="dxa" w:w="120"/>
              <w:bottom w:type="dxa" w:w="80"/>
              <w:right w:type="dxa" w:w="120"/>
            </w:tcMar>
          </w:tcPr>
          <w:p>
            <w:pPr>
              <w:spacing w:after="0" w:line="264"/>
            </w:pPr>
            <w:r>
              <w:rPr>
                <w:sz w:val="19"/>
                <w:szCs w:val="19"/>
              </w:rPr>
              <w:t xml:space="preserve">Two RebarBarType selections: mild (St 24/35) and high tensile (St 36/52)</w:t>
            </w:r>
          </w:p>
        </w:tc>
        <w:tc>
          <w:tcPr>
            <w:tcW w:type="dxa" w:w="3430"/>
            <w:tcMar>
              <w:top w:type="dxa" w:w="80"/>
              <w:left w:type="dxa" w:w="120"/>
              <w:bottom w:type="dxa" w:w="80"/>
              <w:right w:type="dxa" w:w="120"/>
            </w:tcMar>
          </w:tcPr>
          <w:p>
            <w:pPr>
              <w:spacing w:after="0" w:line="264"/>
            </w:pPr>
            <w:r>
              <w:rPr>
                <w:sz w:val="19"/>
                <w:szCs w:val="19"/>
              </w:rPr>
              <w:t xml:space="preserve">—</w:t>
            </w:r>
          </w:p>
        </w:tc>
      </w:tr>
      <w:tr>
        <w:tc>
          <w:tcPr>
            <w:tcW w:type="dxa" w:w="1534"/>
            <w:tcMar>
              <w:top w:type="dxa" w:w="80"/>
              <w:left w:type="dxa" w:w="120"/>
              <w:bottom w:type="dxa" w:w="80"/>
              <w:right w:type="dxa" w:w="120"/>
            </w:tcMar>
          </w:tcPr>
          <w:p>
            <w:pPr>
              <w:spacing w:after="0" w:line="264"/>
            </w:pPr>
            <w:r>
              <w:rPr>
                <w:sz w:val="19"/>
                <w:szCs w:val="19"/>
              </w:rPr>
              <w:t xml:space="preserve">Main bars</w:t>
            </w:r>
          </w:p>
        </w:tc>
        <w:tc>
          <w:tcPr>
            <w:tcW w:type="dxa" w:w="4062"/>
            <w:tcMar>
              <w:top w:type="dxa" w:w="80"/>
              <w:left w:type="dxa" w:w="120"/>
              <w:bottom w:type="dxa" w:w="80"/>
              <w:right w:type="dxa" w:w="120"/>
            </w:tcMar>
          </w:tcPr>
          <w:p>
            <w:pPr>
              <w:spacing w:after="0" w:line="264"/>
            </w:pPr>
            <w:r>
              <w:rPr>
                <w:sz w:val="19"/>
                <w:szCs w:val="19"/>
              </w:rPr>
              <w:t xml:space="preserve">ØTOP, ØBTM, bar count per face, layer option (1 or 2)</w:t>
            </w:r>
          </w:p>
        </w:tc>
        <w:tc>
          <w:tcPr>
            <w:tcW w:type="dxa" w:w="3430"/>
            <w:tcMar>
              <w:top w:type="dxa" w:w="80"/>
              <w:left w:type="dxa" w:w="120"/>
              <w:bottom w:type="dxa" w:w="80"/>
              <w:right w:type="dxa" w:w="120"/>
            </w:tcMar>
          </w:tcPr>
          <w:p>
            <w:pPr>
              <w:spacing w:after="0" w:line="264"/>
            </w:pPr>
            <w:r>
              <w:rPr>
                <w:sz w:val="19"/>
                <w:szCs w:val="19"/>
              </w:rPr>
              <w:t xml:space="preserve">bar length, layer offsets, spacer length</w:t>
            </w:r>
          </w:p>
        </w:tc>
      </w:tr>
      <w:tr>
        <w:tc>
          <w:tcPr>
            <w:tcW w:type="dxa" w:w="1534"/>
            <w:tcMar>
              <w:top w:type="dxa" w:w="80"/>
              <w:left w:type="dxa" w:w="120"/>
              <w:bottom w:type="dxa" w:w="80"/>
              <w:right w:type="dxa" w:w="120"/>
            </w:tcMar>
          </w:tcPr>
          <w:p>
            <w:pPr>
              <w:spacing w:after="0" w:line="264"/>
            </w:pPr>
            <w:r>
              <w:rPr>
                <w:sz w:val="19"/>
                <w:szCs w:val="19"/>
              </w:rPr>
              <w:t xml:space="preserve">Layers</w:t>
            </w:r>
          </w:p>
        </w:tc>
        <w:tc>
          <w:tcPr>
            <w:tcW w:type="dxa" w:w="4062"/>
            <w:tcMar>
              <w:top w:type="dxa" w:w="80"/>
              <w:left w:type="dxa" w:w="120"/>
              <w:bottom w:type="dxa" w:w="80"/>
              <w:right w:type="dxa" w:w="120"/>
            </w:tcMar>
          </w:tcPr>
          <w:p>
            <w:pPr>
              <w:spacing w:after="0" w:line="264"/>
            </w:pPr>
            <w:r>
              <w:rPr>
                <w:sz w:val="19"/>
                <w:szCs w:val="19"/>
              </w:rPr>
              <w:t xml:space="preserve">Øspacer (default 16)</w:t>
            </w:r>
          </w:p>
        </w:tc>
        <w:tc>
          <w:tcPr>
            <w:tcW w:type="dxa" w:w="3430"/>
            <w:tcMar>
              <w:top w:type="dxa" w:w="80"/>
              <w:left w:type="dxa" w:w="120"/>
              <w:bottom w:type="dxa" w:w="80"/>
              <w:right w:type="dxa" w:w="120"/>
            </w:tcMar>
          </w:tcPr>
          <w:p>
            <w:pPr>
              <w:spacing w:after="0" w:line="264"/>
            </w:pPr>
            <w:r>
              <w:rPr>
                <w:sz w:val="19"/>
                <w:szCs w:val="19"/>
              </w:rPr>
              <w:t xml:space="preserve">layers used, spacing per layer</w:t>
            </w:r>
          </w:p>
        </w:tc>
      </w:tr>
      <w:tr>
        <w:tc>
          <w:tcPr>
            <w:tcW w:type="dxa" w:w="1534"/>
            <w:tcMar>
              <w:top w:type="dxa" w:w="80"/>
              <w:left w:type="dxa" w:w="120"/>
              <w:bottom w:type="dxa" w:w="80"/>
              <w:right w:type="dxa" w:w="120"/>
            </w:tcMar>
          </w:tcPr>
          <w:p>
            <w:pPr>
              <w:spacing w:after="0" w:line="264"/>
            </w:pPr>
            <w:r>
              <w:rPr>
                <w:sz w:val="19"/>
                <w:szCs w:val="19"/>
              </w:rPr>
              <w:t xml:space="preserve">Stirrups</w:t>
            </w:r>
          </w:p>
        </w:tc>
        <w:tc>
          <w:tcPr>
            <w:tcW w:type="dxa" w:w="4062"/>
            <w:tcMar>
              <w:top w:type="dxa" w:w="80"/>
              <w:left w:type="dxa" w:w="120"/>
              <w:bottom w:type="dxa" w:w="80"/>
              <w:right w:type="dxa" w:w="120"/>
            </w:tcMar>
          </w:tcPr>
          <w:p>
            <w:pPr>
              <w:spacing w:after="0" w:line="264"/>
            </w:pPr>
            <w:r>
              <w:rPr>
                <w:sz w:val="19"/>
                <w:szCs w:val="19"/>
              </w:rPr>
              <w:t xml:space="preserve">Østirrup, dense spacing, normal spacing, stirrup type (1, 2 or 4)</w:t>
            </w:r>
          </w:p>
        </w:tc>
        <w:tc>
          <w:tcPr>
            <w:tcW w:type="dxa" w:w="3430"/>
            <w:tcMar>
              <w:top w:type="dxa" w:w="80"/>
              <w:left w:type="dxa" w:w="120"/>
              <w:bottom w:type="dxa" w:w="80"/>
              <w:right w:type="dxa" w:w="120"/>
            </w:tcMar>
          </w:tcPr>
          <w:p>
            <w:pPr>
              <w:spacing w:after="0" w:line="264"/>
            </w:pPr>
            <w:r>
              <w:rPr>
                <w:sz w:val="19"/>
                <w:szCs w:val="19"/>
              </w:rPr>
              <w:t xml:space="preserve">zone boundaries, stirrup count, leg dimensions</w:t>
            </w:r>
          </w:p>
        </w:tc>
      </w:tr>
      <w:tr>
        <w:tc>
          <w:tcPr>
            <w:tcW w:type="dxa" w:w="1534"/>
            <w:tcMar>
              <w:top w:type="dxa" w:w="80"/>
              <w:left w:type="dxa" w:w="120"/>
              <w:bottom w:type="dxa" w:w="80"/>
              <w:right w:type="dxa" w:w="120"/>
            </w:tcMar>
          </w:tcPr>
          <w:p>
            <w:pPr>
              <w:spacing w:after="0" w:line="264"/>
            </w:pPr>
            <w:r>
              <w:rPr>
                <w:sz w:val="19"/>
                <w:szCs w:val="19"/>
              </w:rPr>
              <w:t xml:space="preserve">Development length</w:t>
            </w:r>
          </w:p>
        </w:tc>
        <w:tc>
          <w:tcPr>
            <w:tcW w:type="dxa" w:w="4062"/>
            <w:tcMar>
              <w:top w:type="dxa" w:w="80"/>
              <w:left w:type="dxa" w:w="120"/>
              <w:bottom w:type="dxa" w:w="80"/>
              <w:right w:type="dxa" w:w="120"/>
            </w:tcMar>
          </w:tcPr>
          <w:p>
            <w:pPr>
              <w:spacing w:after="0" w:line="264"/>
            </w:pPr>
            <w:r>
              <w:rPr>
                <w:sz w:val="19"/>
                <w:szCs w:val="19"/>
              </w:rPr>
              <w:t xml:space="preserve">LD_top multiplier (60Ø), LD_btm multiplier (55Ø)</w:t>
            </w:r>
          </w:p>
        </w:tc>
        <w:tc>
          <w:tcPr>
            <w:tcW w:type="dxa" w:w="3430"/>
            <w:tcMar>
              <w:top w:type="dxa" w:w="80"/>
              <w:left w:type="dxa" w:w="120"/>
              <w:bottom w:type="dxa" w:w="80"/>
              <w:right w:type="dxa" w:w="120"/>
            </w:tcMar>
          </w:tcPr>
          <w:p>
            <w:pPr>
              <w:spacing w:after="0" w:line="264"/>
            </w:pPr>
            <w:r>
              <w:rPr>
                <w:sz w:val="19"/>
                <w:szCs w:val="19"/>
              </w:rPr>
              <w:t xml:space="preserve">a, b legs (clamped ≥ 200 mm, capped at LD)</w:t>
            </w:r>
          </w:p>
        </w:tc>
      </w:tr>
      <w:tr>
        <w:tc>
          <w:tcPr>
            <w:tcW w:type="dxa" w:w="1534"/>
            <w:tcMar>
              <w:top w:type="dxa" w:w="80"/>
              <w:left w:type="dxa" w:w="120"/>
              <w:bottom w:type="dxa" w:w="80"/>
              <w:right w:type="dxa" w:w="120"/>
            </w:tcMar>
          </w:tcPr>
          <w:p>
            <w:pPr>
              <w:spacing w:after="0" w:line="264"/>
            </w:pPr>
            <w:r>
              <w:rPr>
                <w:sz w:val="19"/>
                <w:szCs w:val="19"/>
              </w:rPr>
              <w:t xml:space="preserve">Crack bars</w:t>
            </w:r>
          </w:p>
        </w:tc>
        <w:tc>
          <w:tcPr>
            <w:tcW w:type="dxa" w:w="4062"/>
            <w:tcMar>
              <w:top w:type="dxa" w:w="80"/>
              <w:left w:type="dxa" w:w="120"/>
              <w:bottom w:type="dxa" w:w="80"/>
              <w:right w:type="dxa" w:w="120"/>
            </w:tcMar>
          </w:tcPr>
          <w:p>
            <w:pPr>
              <w:spacing w:after="0" w:line="264"/>
            </w:pPr>
            <w:r>
              <w:rPr>
                <w:sz w:val="19"/>
                <w:szCs w:val="19"/>
              </w:rPr>
              <w:t xml:space="preserve">Øcrack (default 12), s_max — active only when h &gt; 700</w:t>
            </w:r>
          </w:p>
        </w:tc>
        <w:tc>
          <w:tcPr>
            <w:tcW w:type="dxa" w:w="3430"/>
            <w:tcMar>
              <w:top w:type="dxa" w:w="80"/>
              <w:left w:type="dxa" w:w="120"/>
              <w:bottom w:type="dxa" w:w="80"/>
              <w:right w:type="dxa" w:w="120"/>
            </w:tcMar>
          </w:tcPr>
          <w:p>
            <w:pPr>
              <w:spacing w:after="0" w:line="264"/>
            </w:pPr>
            <w:r>
              <w:rPr>
                <w:sz w:val="19"/>
                <w:szCs w:val="19"/>
              </w:rPr>
              <w:t xml:space="preserve">n_crack_layers, actual_spacing</w:t>
            </w:r>
          </w:p>
        </w:tc>
      </w:tr>
      <w:tr>
        <w:tc>
          <w:tcPr>
            <w:tcW w:type="dxa" w:w="1534"/>
            <w:tcMar>
              <w:top w:type="dxa" w:w="80"/>
              <w:left w:type="dxa" w:w="120"/>
              <w:bottom w:type="dxa" w:w="80"/>
              <w:right w:type="dxa" w:w="120"/>
            </w:tcMar>
          </w:tcPr>
          <w:p>
            <w:pPr>
              <w:spacing w:after="0" w:line="264"/>
            </w:pPr>
            <w:r>
              <w:rPr>
                <w:sz w:val="19"/>
                <w:szCs w:val="19"/>
              </w:rPr>
              <w:t xml:space="preserve">Spacing</w:t>
            </w:r>
          </w:p>
        </w:tc>
        <w:tc>
          <w:tcPr>
            <w:tcW w:type="dxa" w:w="4062"/>
            <w:tcMar>
              <w:top w:type="dxa" w:w="80"/>
              <w:left w:type="dxa" w:w="120"/>
              <w:bottom w:type="dxa" w:w="80"/>
              <w:right w:type="dxa" w:w="120"/>
            </w:tcMar>
          </w:tcPr>
          <w:p>
            <w:pPr>
              <w:spacing w:after="0" w:line="264"/>
            </w:pPr>
            <w:r>
              <w:rPr>
                <w:sz w:val="19"/>
                <w:szCs w:val="19"/>
              </w:rPr>
              <w:t xml:space="preserve">min_spacing override (optional, acts as a floor)</w:t>
            </w:r>
          </w:p>
        </w:tc>
        <w:tc>
          <w:tcPr>
            <w:tcW w:type="dxa" w:w="3430"/>
            <w:tcMar>
              <w:top w:type="dxa" w:w="80"/>
              <w:left w:type="dxa" w:w="120"/>
              <w:bottom w:type="dxa" w:w="80"/>
              <w:right w:type="dxa" w:w="120"/>
            </w:tcMar>
          </w:tcPr>
          <w:p>
            <w:pPr>
              <w:spacing w:after="0" w:line="264"/>
            </w:pPr>
            <w:r>
              <w:rPr>
                <w:sz w:val="19"/>
                <w:szCs w:val="19"/>
              </w:rPr>
              <w:t xml:space="preserve">governing min_spacing from formula or fallback</w:t>
            </w:r>
          </w:p>
        </w:tc>
      </w:tr>
    </w:tbl>
    <w:p>
      <w:pPr>
        <w:pStyle w:val="Heading2"/>
        <w:spacing w:after="120" w:before="240"/>
      </w:pPr>
      <w:r>
        <w:rPr>
          <w:b/>
          <w:bCs/>
          <w:color w:val="1F4E79"/>
          <w:sz w:val="25"/>
          <w:szCs w:val="25"/>
        </w:rPr>
        <w:t xml:space="preserve">8.1 Shipped defaults  [A36, #9]</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dxa" w:w="2257"/>
            <w:shd w:fill="DCE6F1" w:val="clear"/>
            <w:tcMar>
              <w:top w:type="dxa" w:w="80"/>
              <w:left w:type="dxa" w:w="120"/>
              <w:bottom w:type="dxa" w:w="80"/>
              <w:right w:type="dxa" w:w="120"/>
            </w:tcMar>
          </w:tcPr>
          <w:p>
            <w:pPr>
              <w:spacing w:after="0" w:line="264"/>
            </w:pPr>
            <w:r>
              <w:rPr>
                <w:b/>
                <w:bCs/>
                <w:sz w:val="19"/>
                <w:szCs w:val="19"/>
              </w:rPr>
              <w:t xml:space="preserve">Input</w:t>
            </w:r>
          </w:p>
        </w:tc>
        <w:tc>
          <w:tcPr>
            <w:tcW w:type="dxa" w:w="2257"/>
            <w:shd w:fill="DCE6F1" w:val="clear"/>
            <w:tcMar>
              <w:top w:type="dxa" w:w="80"/>
              <w:left w:type="dxa" w:w="120"/>
              <w:bottom w:type="dxa" w:w="80"/>
              <w:right w:type="dxa" w:w="120"/>
            </w:tcMar>
          </w:tcPr>
          <w:p>
            <w:pPr>
              <w:spacing w:after="0" w:line="264"/>
            </w:pPr>
            <w:r>
              <w:rPr>
                <w:b/>
                <w:bCs/>
                <w:sz w:val="19"/>
                <w:szCs w:val="19"/>
              </w:rPr>
              <w:t xml:space="preserve">Default</w:t>
            </w:r>
          </w:p>
        </w:tc>
        <w:tc>
          <w:tcPr>
            <w:tcW w:type="dxa" w:w="2257"/>
            <w:shd w:fill="DCE6F1" w:val="clear"/>
            <w:tcMar>
              <w:top w:type="dxa" w:w="80"/>
              <w:left w:type="dxa" w:w="120"/>
              <w:bottom w:type="dxa" w:w="80"/>
              <w:right w:type="dxa" w:w="120"/>
            </w:tcMar>
          </w:tcPr>
          <w:p>
            <w:pPr>
              <w:spacing w:after="0" w:line="264"/>
            </w:pPr>
            <w:r>
              <w:rPr>
                <w:b/>
                <w:bCs/>
                <w:sz w:val="19"/>
                <w:szCs w:val="19"/>
              </w:rPr>
              <w:t xml:space="preserve">Input</w:t>
            </w:r>
          </w:p>
        </w:tc>
        <w:tc>
          <w:tcPr>
            <w:tcW w:type="dxa" w:w="2257"/>
            <w:shd w:fill="DCE6F1" w:val="clear"/>
            <w:tcMar>
              <w:top w:type="dxa" w:w="80"/>
              <w:left w:type="dxa" w:w="120"/>
              <w:bottom w:type="dxa" w:w="80"/>
              <w:right w:type="dxa" w:w="120"/>
            </w:tcMar>
          </w:tcPr>
          <w:p>
            <w:pPr>
              <w:spacing w:after="0" w:line="264"/>
            </w:pPr>
            <w:r>
              <w:rPr>
                <w:b/>
                <w:bCs/>
                <w:sz w:val="19"/>
                <w:szCs w:val="19"/>
              </w:rPr>
              <w:t xml:space="preserve">Default</w:t>
            </w:r>
          </w:p>
        </w:tc>
      </w:tr>
      <w:tr>
        <w:tc>
          <w:tcPr>
            <w:tcW w:type="dxa" w:w="2257"/>
            <w:tcMar>
              <w:top w:type="dxa" w:w="80"/>
              <w:left w:type="dxa" w:w="120"/>
              <w:bottom w:type="dxa" w:w="80"/>
              <w:right w:type="dxa" w:w="120"/>
            </w:tcMar>
          </w:tcPr>
          <w:p>
            <w:pPr>
              <w:spacing w:after="0" w:line="264"/>
            </w:pPr>
            <w:r>
              <w:rPr>
                <w:sz w:val="19"/>
                <w:szCs w:val="19"/>
              </w:rPr>
              <w:t xml:space="preserve">cover</w:t>
            </w:r>
          </w:p>
        </w:tc>
        <w:tc>
          <w:tcPr>
            <w:tcW w:type="dxa" w:w="2257"/>
            <w:tcMar>
              <w:top w:type="dxa" w:w="80"/>
              <w:left w:type="dxa" w:w="120"/>
              <w:bottom w:type="dxa" w:w="80"/>
              <w:right w:type="dxa" w:w="120"/>
            </w:tcMar>
          </w:tcPr>
          <w:p>
            <w:pPr>
              <w:spacing w:after="0" w:line="264"/>
            </w:pPr>
            <w:r>
              <w:rPr>
                <w:sz w:val="19"/>
                <w:szCs w:val="19"/>
              </w:rPr>
              <w:t xml:space="preserve">25 mm</w:t>
            </w:r>
          </w:p>
        </w:tc>
        <w:tc>
          <w:tcPr>
            <w:tcW w:type="dxa" w:w="2257"/>
            <w:tcMar>
              <w:top w:type="dxa" w:w="80"/>
              <w:left w:type="dxa" w:w="120"/>
              <w:bottom w:type="dxa" w:w="80"/>
              <w:right w:type="dxa" w:w="120"/>
            </w:tcMar>
          </w:tcPr>
          <w:p>
            <w:pPr>
              <w:spacing w:after="0" w:line="264"/>
            </w:pPr>
            <w:r>
              <w:rPr>
                <w:sz w:val="19"/>
                <w:szCs w:val="19"/>
              </w:rPr>
              <w:t xml:space="preserve">Øspacer</w:t>
            </w:r>
          </w:p>
        </w:tc>
        <w:tc>
          <w:tcPr>
            <w:tcW w:type="dxa" w:w="2257"/>
            <w:tcMar>
              <w:top w:type="dxa" w:w="80"/>
              <w:left w:type="dxa" w:w="120"/>
              <w:bottom w:type="dxa" w:w="80"/>
              <w:right w:type="dxa" w:w="120"/>
            </w:tcMar>
          </w:tcPr>
          <w:p>
            <w:pPr>
              <w:spacing w:after="0" w:line="264"/>
            </w:pPr>
            <w:r>
              <w:rPr>
                <w:sz w:val="19"/>
                <w:szCs w:val="19"/>
              </w:rPr>
              <w:t xml:space="preserve">16</w:t>
            </w:r>
          </w:p>
        </w:tc>
      </w:tr>
      <w:tr>
        <w:tc>
          <w:tcPr>
            <w:tcW w:type="dxa" w:w="2257"/>
            <w:tcMar>
              <w:top w:type="dxa" w:w="80"/>
              <w:left w:type="dxa" w:w="120"/>
              <w:bottom w:type="dxa" w:w="80"/>
              <w:right w:type="dxa" w:w="120"/>
            </w:tcMar>
          </w:tcPr>
          <w:p>
            <w:pPr>
              <w:spacing w:after="0" w:line="264"/>
            </w:pPr>
            <w:r>
              <w:rPr>
                <w:sz w:val="19"/>
                <w:szCs w:val="19"/>
              </w:rPr>
              <w:t xml:space="preserve">Østirrup</w:t>
            </w:r>
          </w:p>
        </w:tc>
        <w:tc>
          <w:tcPr>
            <w:tcW w:type="dxa" w:w="2257"/>
            <w:tcMar>
              <w:top w:type="dxa" w:w="80"/>
              <w:left w:type="dxa" w:w="120"/>
              <w:bottom w:type="dxa" w:w="80"/>
              <w:right w:type="dxa" w:w="120"/>
            </w:tcMar>
          </w:tcPr>
          <w:p>
            <w:pPr>
              <w:spacing w:after="0" w:line="264"/>
            </w:pPr>
            <w:r>
              <w:rPr>
                <w:sz w:val="19"/>
                <w:szCs w:val="19"/>
              </w:rPr>
              <w:t xml:space="preserve">10</w:t>
            </w:r>
          </w:p>
        </w:tc>
        <w:tc>
          <w:tcPr>
            <w:tcW w:type="dxa" w:w="2257"/>
            <w:tcMar>
              <w:top w:type="dxa" w:w="80"/>
              <w:left w:type="dxa" w:w="120"/>
              <w:bottom w:type="dxa" w:w="80"/>
              <w:right w:type="dxa" w:w="120"/>
            </w:tcMar>
          </w:tcPr>
          <w:p>
            <w:pPr>
              <w:spacing w:after="0" w:line="264"/>
            </w:pPr>
            <w:r>
              <w:rPr>
                <w:sz w:val="19"/>
                <w:szCs w:val="19"/>
              </w:rPr>
              <w:t xml:space="preserve">Øcrack</w:t>
            </w:r>
          </w:p>
        </w:tc>
        <w:tc>
          <w:tcPr>
            <w:tcW w:type="dxa" w:w="2257"/>
            <w:tcMar>
              <w:top w:type="dxa" w:w="80"/>
              <w:left w:type="dxa" w:w="120"/>
              <w:bottom w:type="dxa" w:w="80"/>
              <w:right w:type="dxa" w:w="120"/>
            </w:tcMar>
          </w:tcPr>
          <w:p>
            <w:pPr>
              <w:spacing w:after="0" w:line="264"/>
            </w:pPr>
            <w:r>
              <w:rPr>
                <w:sz w:val="19"/>
                <w:szCs w:val="19"/>
              </w:rPr>
              <w:t xml:space="preserve">12</w:t>
            </w:r>
          </w:p>
        </w:tc>
      </w:tr>
      <w:tr>
        <w:tc>
          <w:tcPr>
            <w:tcW w:type="dxa" w:w="2257"/>
            <w:tcMar>
              <w:top w:type="dxa" w:w="80"/>
              <w:left w:type="dxa" w:w="120"/>
              <w:bottom w:type="dxa" w:w="80"/>
              <w:right w:type="dxa" w:w="120"/>
            </w:tcMar>
          </w:tcPr>
          <w:p>
            <w:pPr>
              <w:spacing w:after="0" w:line="264"/>
            </w:pPr>
            <w:r>
              <w:rPr>
                <w:sz w:val="19"/>
                <w:szCs w:val="19"/>
              </w:rPr>
              <w:t xml:space="preserve">dense spacing</w:t>
            </w:r>
          </w:p>
        </w:tc>
        <w:tc>
          <w:tcPr>
            <w:tcW w:type="dxa" w:w="2257"/>
            <w:tcMar>
              <w:top w:type="dxa" w:w="80"/>
              <w:left w:type="dxa" w:w="120"/>
              <w:bottom w:type="dxa" w:w="80"/>
              <w:right w:type="dxa" w:w="120"/>
            </w:tcMar>
          </w:tcPr>
          <w:p>
            <w:pPr>
              <w:spacing w:after="0" w:line="264"/>
            </w:pPr>
            <w:r>
              <w:rPr>
                <w:sz w:val="19"/>
                <w:szCs w:val="19"/>
              </w:rPr>
              <w:t xml:space="preserve">150 mm</w:t>
            </w:r>
          </w:p>
        </w:tc>
        <w:tc>
          <w:tcPr>
            <w:tcW w:type="dxa" w:w="2257"/>
            <w:tcMar>
              <w:top w:type="dxa" w:w="80"/>
              <w:left w:type="dxa" w:w="120"/>
              <w:bottom w:type="dxa" w:w="80"/>
              <w:right w:type="dxa" w:w="120"/>
            </w:tcMar>
          </w:tcPr>
          <w:p>
            <w:pPr>
              <w:spacing w:after="0" w:line="264"/>
            </w:pPr>
            <w:r>
              <w:rPr>
                <w:sz w:val="19"/>
                <w:szCs w:val="19"/>
              </w:rPr>
              <w:t xml:space="preserve">s_max</w:t>
            </w:r>
          </w:p>
        </w:tc>
        <w:tc>
          <w:tcPr>
            <w:tcW w:type="dxa" w:w="2257"/>
            <w:tcMar>
              <w:top w:type="dxa" w:w="80"/>
              <w:left w:type="dxa" w:w="120"/>
              <w:bottom w:type="dxa" w:w="80"/>
              <w:right w:type="dxa" w:w="120"/>
            </w:tcMar>
          </w:tcPr>
          <w:p>
            <w:pPr>
              <w:spacing w:after="0" w:line="264"/>
            </w:pPr>
            <w:r>
              <w:rPr>
                <w:sz w:val="19"/>
                <w:szCs w:val="19"/>
              </w:rPr>
              <w:t xml:space="preserve">200 mm</w:t>
            </w:r>
          </w:p>
        </w:tc>
      </w:tr>
      <w:tr>
        <w:tc>
          <w:tcPr>
            <w:tcW w:type="dxa" w:w="2257"/>
            <w:tcMar>
              <w:top w:type="dxa" w:w="80"/>
              <w:left w:type="dxa" w:w="120"/>
              <w:bottom w:type="dxa" w:w="80"/>
              <w:right w:type="dxa" w:w="120"/>
            </w:tcMar>
          </w:tcPr>
          <w:p>
            <w:pPr>
              <w:spacing w:after="0" w:line="264"/>
            </w:pPr>
            <w:r>
              <w:rPr>
                <w:sz w:val="19"/>
                <w:szCs w:val="19"/>
              </w:rPr>
              <w:t xml:space="preserve">normal spacing</w:t>
            </w:r>
          </w:p>
        </w:tc>
        <w:tc>
          <w:tcPr>
            <w:tcW w:type="dxa" w:w="2257"/>
            <w:tcMar>
              <w:top w:type="dxa" w:w="80"/>
              <w:left w:type="dxa" w:w="120"/>
              <w:bottom w:type="dxa" w:w="80"/>
              <w:right w:type="dxa" w:w="120"/>
            </w:tcMar>
          </w:tcPr>
          <w:p>
            <w:pPr>
              <w:spacing w:after="0" w:line="264"/>
            </w:pPr>
            <w:r>
              <w:rPr>
                <w:sz w:val="19"/>
                <w:szCs w:val="19"/>
              </w:rPr>
              <w:t xml:space="preserve">200 mm</w:t>
            </w:r>
          </w:p>
        </w:tc>
        <w:tc>
          <w:tcPr>
            <w:tcW w:type="dxa" w:w="2257"/>
            <w:tcMar>
              <w:top w:type="dxa" w:w="80"/>
              <w:left w:type="dxa" w:w="120"/>
              <w:bottom w:type="dxa" w:w="80"/>
              <w:right w:type="dxa" w:w="120"/>
            </w:tcMar>
          </w:tcPr>
          <w:p>
            <w:pPr>
              <w:spacing w:after="0" w:line="264"/>
            </w:pPr>
            <w:r>
              <w:rPr>
                <w:sz w:val="19"/>
                <w:szCs w:val="19"/>
              </w:rPr>
              <w:t xml:space="preserve">stirrup type</w:t>
            </w:r>
          </w:p>
        </w:tc>
        <w:tc>
          <w:tcPr>
            <w:tcW w:type="dxa" w:w="2257"/>
            <w:tcMar>
              <w:top w:type="dxa" w:w="80"/>
              <w:left w:type="dxa" w:w="120"/>
              <w:bottom w:type="dxa" w:w="80"/>
              <w:right w:type="dxa" w:w="120"/>
            </w:tcMar>
          </w:tcPr>
          <w:p>
            <w:pPr>
              <w:spacing w:after="0" w:line="264"/>
            </w:pPr>
            <w:r>
              <w:rPr>
                <w:sz w:val="19"/>
                <w:szCs w:val="19"/>
              </w:rPr>
              <w:t xml:space="preserve">1</w:t>
            </w:r>
          </w:p>
        </w:tc>
      </w:tr>
      <w:tr>
        <w:tc>
          <w:tcPr>
            <w:tcW w:type="dxa" w:w="2257"/>
            <w:tcMar>
              <w:top w:type="dxa" w:w="80"/>
              <w:left w:type="dxa" w:w="120"/>
              <w:bottom w:type="dxa" w:w="80"/>
              <w:right w:type="dxa" w:w="120"/>
            </w:tcMar>
          </w:tcPr>
          <w:p>
            <w:pPr>
              <w:spacing w:after="0" w:line="264"/>
            </w:pPr>
            <w:r>
              <w:rPr>
                <w:sz w:val="19"/>
                <w:szCs w:val="19"/>
              </w:rPr>
              <w:t xml:space="preserve">LD_top</w:t>
            </w:r>
          </w:p>
        </w:tc>
        <w:tc>
          <w:tcPr>
            <w:tcW w:type="dxa" w:w="2257"/>
            <w:tcMar>
              <w:top w:type="dxa" w:w="80"/>
              <w:left w:type="dxa" w:w="120"/>
              <w:bottom w:type="dxa" w:w="80"/>
              <w:right w:type="dxa" w:w="120"/>
            </w:tcMar>
          </w:tcPr>
          <w:p>
            <w:pPr>
              <w:spacing w:after="0" w:line="264"/>
            </w:pPr>
            <w:r>
              <w:rPr>
                <w:sz w:val="19"/>
                <w:szCs w:val="19"/>
              </w:rPr>
              <w:t xml:space="preserve">60 × Ø</w:t>
            </w:r>
          </w:p>
        </w:tc>
        <w:tc>
          <w:tcPr>
            <w:tcW w:type="dxa" w:w="2257"/>
            <w:tcMar>
              <w:top w:type="dxa" w:w="80"/>
              <w:left w:type="dxa" w:w="120"/>
              <w:bottom w:type="dxa" w:w="80"/>
              <w:right w:type="dxa" w:w="120"/>
            </w:tcMar>
          </w:tcPr>
          <w:p>
            <w:pPr>
              <w:spacing w:after="0" w:line="264"/>
            </w:pPr>
            <w:r>
              <w:rPr>
                <w:sz w:val="19"/>
                <w:szCs w:val="19"/>
              </w:rPr>
              <w:t xml:space="preserve">layer option</w:t>
            </w:r>
          </w:p>
        </w:tc>
        <w:tc>
          <w:tcPr>
            <w:tcW w:type="dxa" w:w="2257"/>
            <w:tcMar>
              <w:top w:type="dxa" w:w="80"/>
              <w:left w:type="dxa" w:w="120"/>
              <w:bottom w:type="dxa" w:w="80"/>
              <w:right w:type="dxa" w:w="120"/>
            </w:tcMar>
          </w:tcPr>
          <w:p>
            <w:pPr>
              <w:spacing w:after="0" w:line="264"/>
            </w:pPr>
            <w:r>
              <w:rPr>
                <w:sz w:val="19"/>
                <w:szCs w:val="19"/>
              </w:rPr>
              <w:t xml:space="preserve">1 (single wide row)</w:t>
            </w:r>
          </w:p>
        </w:tc>
      </w:tr>
      <w:tr>
        <w:tc>
          <w:tcPr>
            <w:tcW w:type="dxa" w:w="2257"/>
            <w:tcMar>
              <w:top w:type="dxa" w:w="80"/>
              <w:left w:type="dxa" w:w="120"/>
              <w:bottom w:type="dxa" w:w="80"/>
              <w:right w:type="dxa" w:w="120"/>
            </w:tcMar>
          </w:tcPr>
          <w:p>
            <w:pPr>
              <w:spacing w:after="0" w:line="264"/>
            </w:pPr>
            <w:r>
              <w:rPr>
                <w:sz w:val="19"/>
                <w:szCs w:val="19"/>
              </w:rPr>
              <w:t xml:space="preserve">LD_btm</w:t>
            </w:r>
          </w:p>
        </w:tc>
        <w:tc>
          <w:tcPr>
            <w:tcW w:type="dxa" w:w="2257"/>
            <w:tcMar>
              <w:top w:type="dxa" w:w="80"/>
              <w:left w:type="dxa" w:w="120"/>
              <w:bottom w:type="dxa" w:w="80"/>
              <w:right w:type="dxa" w:w="120"/>
            </w:tcMar>
          </w:tcPr>
          <w:p>
            <w:pPr>
              <w:spacing w:after="0" w:line="264"/>
            </w:pPr>
            <w:r>
              <w:rPr>
                <w:sz w:val="19"/>
                <w:szCs w:val="19"/>
              </w:rPr>
              <w:t xml:space="preserve">55 × Ø</w:t>
            </w:r>
          </w:p>
        </w:tc>
        <w:tc>
          <w:tcPr>
            <w:tcW w:type="dxa" w:w="2257"/>
            <w:tcMar>
              <w:top w:type="dxa" w:w="80"/>
              <w:left w:type="dxa" w:w="120"/>
              <w:bottom w:type="dxa" w:w="80"/>
              <w:right w:type="dxa" w:w="120"/>
            </w:tcMar>
          </w:tcPr>
          <w:p>
            <w:pPr>
              <w:spacing w:after="0" w:line="264"/>
            </w:pPr>
            <w:r>
              <w:rPr>
                <w:sz w:val="19"/>
                <w:szCs w:val="19"/>
              </w:rPr>
              <w:t xml:space="preserve">Dagg</w:t>
            </w:r>
          </w:p>
        </w:tc>
        <w:tc>
          <w:tcPr>
            <w:tcW w:type="dxa" w:w="2257"/>
            <w:tcMar>
              <w:top w:type="dxa" w:w="80"/>
              <w:left w:type="dxa" w:w="120"/>
              <w:bottom w:type="dxa" w:w="80"/>
              <w:right w:type="dxa" w:w="120"/>
            </w:tcMar>
          </w:tcPr>
          <w:p>
            <w:pPr>
              <w:spacing w:after="0" w:line="264"/>
            </w:pPr>
            <w:r>
              <w:rPr>
                <w:sz w:val="19"/>
                <w:szCs w:val="19"/>
              </w:rPr>
              <w:t xml:space="preserve">blank</w:t>
            </w:r>
          </w:p>
        </w:tc>
      </w:tr>
    </w:tbl>
    <w:p>
      <w:pPr>
        <w:spacing w:after="120" w:line="276"/>
      </w:pPr>
      <w:r>
        <w:t xml:space="preserve">These reproduce this document’s worked examples out of the box. Dagg ships blank deliberately, so §6.2’s 50 mm fallback governs until an aggregate size is supplied.</w:t>
      </w:r>
    </w:p>
    <w:p>
      <w:pPr>
        <w:pStyle w:val="Heading2"/>
        <w:spacing w:after="120" w:before="240"/>
      </w:pPr>
      <w:r>
        <w:rPr>
          <w:b/>
          <w:bCs/>
          <w:color w:val="1F4E79"/>
          <w:sz w:val="25"/>
          <w:szCs w:val="25"/>
        </w:rPr>
        <w:t xml:space="preserve">8.2 Interface and reporting  [A35, A37, #9]</w:t>
      </w:r>
    </w:p>
    <w:p>
      <w:pPr>
        <w:pStyle w:val="ListParagraph"/>
        <w:numPr>
          <w:ilvl w:val="0"/>
          <w:numId w:val="2"/>
        </w:numPr>
        <w:spacing w:after="80" w:line="276"/>
      </w:pPr>
      <w:r>
        <w:t xml:space="preserve">A single WPF / XAML form collects all inputs with cross-field validation.</w:t>
      </w:r>
    </w:p>
    <w:p>
      <w:pPr>
        <w:pStyle w:val="ListParagraph"/>
        <w:numPr>
          <w:ilvl w:val="0"/>
          <w:numId w:val="2"/>
        </w:numPr>
        <w:spacing w:after="80" w:line="276"/>
      </w:pPr>
      <w:r>
        <w:t xml:space="preserve">The dialog opens first; the user then picks the beam. Geometry and support fields stay disabled until a beam is picked, and re-picking re-populates them and re-runs support detection.</w:t>
      </w:r>
    </w:p>
    <w:p>
      <w:pPr>
        <w:pStyle w:val="ListParagraph"/>
        <w:numPr>
          <w:ilvl w:val="0"/>
          <w:numId w:val="2"/>
        </w:numPr>
        <w:spacing w:after="80" w:line="276"/>
      </w:pPr>
      <w:r>
        <w:t xml:space="preserve">Entered parameters persist per project, so detailing many beams in one project reuses the parameter set while a different project starts from defaults.</w:t>
      </w:r>
    </w:p>
    <w:p>
      <w:pPr>
        <w:pStyle w:val="ListParagraph"/>
        <w:numPr>
          <w:ilvl w:val="0"/>
          <w:numId w:val="2"/>
        </w:numPr>
        <w:spacing w:after="80" w:line="276"/>
      </w:pPr>
      <w:r>
        <w:t xml:space="preserve">Full output goes to the pyRevit output window: per-layer spacing and layer count for both faces (as §6.3 requires), zone stirrup counts and achieved spacings, computed a / b anchorage legs, and crack bar layer count and actual_spacing.</w:t>
      </w:r>
    </w:p>
    <w:p>
      <w:pPr>
        <w:pStyle w:val="ListParagraph"/>
        <w:numPr>
          <w:ilvl w:val="0"/>
          <w:numId w:val="2"/>
        </w:numPr>
        <w:spacing w:after="80" w:line="276"/>
      </w:pPr>
      <w:r>
        <w:t xml:space="preserve">A summary dialog carries the headline numbers plus any warnings. No file export in v1.</w:t>
      </w:r>
    </w:p>
    <w:p>
      <w:pPr>
        <w:pStyle w:val="Heading1"/>
        <w:spacing w:after="160" w:before="320"/>
      </w:pPr>
      <w:r>
        <w:rPr>
          <w:b/>
          <w:bCs/>
          <w:color w:val="1F4E79"/>
          <w:sz w:val="30"/>
          <w:szCs w:val="30"/>
        </w:rPr>
        <w:t xml:space="preserve">9. Open Items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49"/>
        <w:gridCol w:w="5777"/>
      </w:tblGrid>
      <w:tr>
        <w:trPr>
          <w:tblHeader/>
        </w:trPr>
        <w:tc>
          <w:tcPr>
            <w:tcW w:type="dxa" w:w="3249"/>
            <w:shd w:fill="DCE6F1" w:val="clear"/>
            <w:tcMar>
              <w:top w:type="dxa" w:w="80"/>
              <w:left w:type="dxa" w:w="120"/>
              <w:bottom w:type="dxa" w:w="80"/>
              <w:right w:type="dxa" w:w="120"/>
            </w:tcMar>
          </w:tcPr>
          <w:p>
            <w:pPr>
              <w:spacing w:after="0" w:line="264"/>
            </w:pPr>
            <w:r>
              <w:rPr>
                <w:b/>
                <w:bCs/>
                <w:sz w:val="19"/>
                <w:szCs w:val="19"/>
              </w:rPr>
              <w:t xml:space="preserve">Item</w:t>
            </w:r>
          </w:p>
        </w:tc>
        <w:tc>
          <w:tcPr>
            <w:tcW w:type="dxa" w:w="5777"/>
            <w:shd w:fill="DCE6F1" w:val="clear"/>
            <w:tcMar>
              <w:top w:type="dxa" w:w="80"/>
              <w:left w:type="dxa" w:w="120"/>
              <w:bottom w:type="dxa" w:w="80"/>
              <w:right w:type="dxa" w:w="120"/>
            </w:tcMar>
          </w:tcPr>
          <w:p>
            <w:pPr>
              <w:spacing w:after="0" w:line="264"/>
            </w:pPr>
            <w:r>
              <w:rPr>
                <w:b/>
                <w:bCs/>
                <w:sz w:val="19"/>
                <w:szCs w:val="19"/>
              </w:rPr>
              <w:t xml:space="preserve">Status</w:t>
            </w:r>
          </w:p>
        </w:tc>
      </w:tr>
      <w:tr>
        <w:tc>
          <w:tcPr>
            <w:tcW w:type="dxa" w:w="3249"/>
            <w:tcMar>
              <w:top w:type="dxa" w:w="80"/>
              <w:left w:type="dxa" w:w="120"/>
              <w:bottom w:type="dxa" w:w="80"/>
              <w:right w:type="dxa" w:w="120"/>
            </w:tcMar>
          </w:tcPr>
          <w:p>
            <w:pPr>
              <w:spacing w:after="0" w:line="264"/>
            </w:pPr>
            <w:r>
              <w:rPr>
                <w:sz w:val="19"/>
                <w:szCs w:val="19"/>
              </w:rPr>
              <w:t xml:space="preserve">1 — Bottom bar anchorage bend geometry (a_btm)</w:t>
            </w:r>
          </w:p>
        </w:tc>
        <w:tc>
          <w:tcPr>
            <w:tcW w:type="dxa" w:w="5777"/>
            <w:tcMar>
              <w:top w:type="dxa" w:w="80"/>
              <w:left w:type="dxa" w:w="120"/>
              <w:bottom w:type="dxa" w:w="80"/>
              <w:right w:type="dxa" w:w="120"/>
            </w:tcMar>
          </w:tcPr>
          <w:p>
            <w:pPr>
              <w:spacing w:after="0" w:line="264"/>
            </w:pPr>
            <w:r>
              <w:rPr>
                <w:sz w:val="19"/>
                <w:szCs w:val="19"/>
              </w:rPr>
              <w:t xml:space="preserve">CLOSED. Confirmed correct as written; rationale in §2.2 (A7).</w:t>
            </w:r>
          </w:p>
        </w:tc>
      </w:tr>
      <w:tr>
        <w:tc>
          <w:tcPr>
            <w:tcW w:type="dxa" w:w="3249"/>
            <w:tcMar>
              <w:top w:type="dxa" w:w="80"/>
              <w:left w:type="dxa" w:w="120"/>
              <w:bottom w:type="dxa" w:w="80"/>
              <w:right w:type="dxa" w:w="120"/>
            </w:tcMar>
          </w:tcPr>
          <w:p>
            <w:pPr>
              <w:spacing w:after="0" w:line="264"/>
            </w:pPr>
            <w:r>
              <w:rPr>
                <w:sz w:val="19"/>
                <w:szCs w:val="19"/>
              </w:rPr>
              <w:t xml:space="preserve">2 — Multi-span beam behaviour</w:t>
            </w:r>
          </w:p>
        </w:tc>
        <w:tc>
          <w:tcPr>
            <w:tcW w:type="dxa" w:w="5777"/>
            <w:tcMar>
              <w:top w:type="dxa" w:w="80"/>
              <w:left w:type="dxa" w:w="120"/>
              <w:bottom w:type="dxa" w:w="80"/>
              <w:right w:type="dxa" w:w="120"/>
            </w:tcMar>
          </w:tcPr>
          <w:p>
            <w:pPr>
              <w:spacing w:after="0" w:line="264"/>
            </w:pPr>
            <w:r>
              <w:rPr>
                <w:sz w:val="19"/>
                <w:szCs w:val="19"/>
              </w:rPr>
              <w:t xml:space="preserve">STILL DEFERRED. Single-span remains the hard scope boundary. The tool should warn on, or refuse, a beam that is part of a continuous run rather than silently detailing it as simply supported.</w:t>
            </w:r>
          </w:p>
        </w:tc>
      </w:tr>
      <w:tr>
        <w:tc>
          <w:tcPr>
            <w:tcW w:type="dxa" w:w="3249"/>
            <w:tcMar>
              <w:top w:type="dxa" w:w="80"/>
              <w:left w:type="dxa" w:w="120"/>
              <w:bottom w:type="dxa" w:w="80"/>
              <w:right w:type="dxa" w:w="120"/>
            </w:tcMar>
          </w:tcPr>
          <w:p>
            <w:pPr>
              <w:spacing w:after="0" w:line="264"/>
            </w:pPr>
            <w:r>
              <w:rPr>
                <w:sz w:val="19"/>
                <w:szCs w:val="19"/>
              </w:rPr>
              <w:t xml:space="preserve">3 — Stirrup leg dimensioning formulas</w:t>
            </w:r>
          </w:p>
        </w:tc>
        <w:tc>
          <w:tcPr>
            <w:tcW w:type="dxa" w:w="5777"/>
            <w:tcMar>
              <w:top w:type="dxa" w:w="80"/>
              <w:left w:type="dxa" w:w="120"/>
              <w:bottom w:type="dxa" w:w="80"/>
              <w:right w:type="dxa" w:w="120"/>
            </w:tcMar>
          </w:tcPr>
          <w:p>
            <w:pPr>
              <w:spacing w:after="0" w:line="264"/>
            </w:pPr>
            <w:r>
              <w:rPr>
                <w:sz w:val="19"/>
                <w:szCs w:val="19"/>
              </w:rPr>
              <w:t xml:space="preserve">CLOSED for the outer perimeter, specified in §7.1 (A30). The inner loop of type 3 remains undefined, which is why type 3 is parked (A31, R6).</w:t>
            </w:r>
          </w:p>
        </w:tc>
      </w:tr>
    </w:tbl>
    <w:p>
      <w:pPr>
        <w:pStyle w:val="Heading1"/>
        <w:spacing w:after="160" w:before="320"/>
      </w:pPr>
      <w:r>
        <w:rPr>
          <w:b/>
          <w:bCs/>
          <w:color w:val="1F4E79"/>
          <w:sz w:val="30"/>
          <w:szCs w:val="30"/>
        </w:rPr>
        <w:t xml:space="preserve">10. Implementation Constraints (Revit API)</w:t>
      </w:r>
    </w:p>
    <w:p>
      <w:pPr>
        <w:spacing w:after="120" w:line="276"/>
      </w:pPr>
      <w:r>
        <w:t xml:space="preserve">Recorded here so the API decisions live alongside the geometry rules they serve. Full detail with sources in docs/research/revit-api-strategy.md and docs/research/stirrup-types.md.</w:t>
      </w:r>
    </w:p>
    <w:p>
      <w:pPr>
        <w:pStyle w:val="ListParagraph"/>
        <w:numPr>
          <w:ilvl w:val="0"/>
          <w:numId w:val="2"/>
        </w:numPr>
        <w:spacing w:after="80" w:line="276"/>
      </w:pPr>
      <w:r>
        <w:t xml:space="preserve">All detailing math in millimetres, matching this document 1:1. Convert only at the API call boundary via UnitUtils.ConvertToInternalUnits(v, UnitTypeId.Millimeters). No value is stored in feet.</w:t>
      </w:r>
    </w:p>
    <w:p>
      <w:pPr>
        <w:pStyle w:val="ListParagraph"/>
        <w:numPr>
          <w:ilvl w:val="0"/>
          <w:numId w:val="2"/>
        </w:numPr>
        <w:spacing w:after="80" w:line="276"/>
      </w:pPr>
      <w:r>
        <w:t xml:space="preserve">Longitudinal bars: Rebar.CreateFromCurves with RebarStyle.Standard. The §2 bend is a second curve segment, with startHook and endHook set to null (A13).</w:t>
      </w:r>
    </w:p>
    <w:p>
      <w:pPr>
        <w:pStyle w:val="ListParagraph"/>
        <w:numPr>
          <w:ilvl w:val="0"/>
          <w:numId w:val="2"/>
        </w:numPr>
        <w:spacing w:after="80" w:line="276"/>
      </w:pPr>
      <w:r>
        <w:t xml:space="preserve">Stirrups: RebarStyle.StirrupTie, a closed 4-curve loop (open for type 4), the mild bar type, and 180° hooks.</w:t>
      </w:r>
    </w:p>
    <w:p>
      <w:pPr>
        <w:pStyle w:val="ListParagraph"/>
        <w:numPr>
          <w:ilvl w:val="0"/>
          <w:numId w:val="2"/>
        </w:numPr>
        <w:spacing w:after="80" w:line="276"/>
      </w:pPr>
      <w:r>
        <w:t xml:space="preserve">Stirrup distribution: one rebar set per zone via SetLayoutAsMaximumSpacing on RebarShapeDrivenAccessor. Never SetLayoutAsNumberWithSpacing, which takes no array length and cannot be pinned to a zone boundary.</w:t>
      </w:r>
    </w:p>
    <w:p>
      <w:pPr>
        <w:pStyle w:val="ListParagraph"/>
        <w:numPr>
          <w:ilvl w:val="0"/>
          <w:numId w:val="2"/>
        </w:numPr>
        <w:spacing w:after="80" w:line="276"/>
      </w:pPr>
      <w:r>
        <w:t xml:space="preserve">Host validation order: RebarHostData.GetRebarHostData(beam) non-null, then IsValidHost(), then explicitly read back per-face RebarCoverType — an undefined face cover silently falls back to a document default and could masquerade as this spec’s Cover input.</w:t>
      </w:r>
    </w:p>
    <w:p>
      <w:pPr>
        <w:pStyle w:val="ListParagraph"/>
        <w:numPr>
          <w:ilvl w:val="0"/>
          <w:numId w:val="2"/>
        </w:numPr>
        <w:spacing w:after="80" w:line="276"/>
      </w:pPr>
      <w:r>
        <w:t xml:space="preserve">One Transaction per beam wrapping all bars and stirrup sets, with RollBack() on any exception, so a half-placed cage never commits.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2F2" w:val="clear"/>
            <w:tcMar>
              <w:top w:type="dxa" w:w="120"/>
              <w:left w:type="dxa" w:w="160"/>
              <w:bottom w:type="dxa" w:w="120"/>
              <w:right w:type="dxa" w:w="160"/>
            </w:tcMar>
          </w:tcPr>
          <w:p>
            <w:pPr>
              <w:spacing w:after="60"/>
            </w:pPr>
            <w:r>
              <w:rPr>
                <w:b/>
                <w:bCs/>
                <w:color w:val="7F0000"/>
                <w:sz w:val="18"/>
                <w:szCs w:val="18"/>
              </w:rPr>
              <w:t xml:space="preserve">NOT VERIFIED AGAINST A LIVE REVIT HOST</w:t>
            </w:r>
          </w:p>
          <w:p>
            <w:pPr>
              <w:spacing w:after="60" w:line="264"/>
            </w:pPr>
            <w:r>
              <w:rPr>
                <w:sz w:val="19"/>
                <w:szCs w:val="19"/>
              </w:rPr>
              <w:t xml:space="preserve">No live Revit host was available when these decisions were made, so every API finding above rests on documentation. Requiring empirical confirmation: default bend radii and the fillet/trim magnitude; real-world IsValidHost() behaviour; undefined-cover fallback behaviour; zone-set boundary interaction (R4); whether SetLayoutAsMaximumSpacing behaves identically for open and closed shapes; live-template stirrup shape names; and whether RebarStyle.StirrupTie permits 180° hooks.</w:t>
            </w:r>
          </w:p>
          <w:p>
            <w:pPr>
              <w:spacing w:after="0" w:line="264"/>
            </w:pPr>
            <w:r>
              <w:rPr>
                <w:sz w:val="19"/>
                <w:szCs w:val="19"/>
              </w:rPr>
              <w:t xml:space="preserve">The last item is load-bearing: if StirrupTie disallows 180° hooks, the mild-steel hook decision in §7.3 (A33) must be revisited.</w:t>
            </w:r>
          </w:p>
        </w:tc>
      </w:tr>
    </w:tbl>
    <w:p>
      <w:pPr>
        <w:pStyle w:val="Heading1"/>
        <w:spacing w:after="160" w:before="320"/>
      </w:pPr>
      <w:r>
        <w:rPr>
          <w:b/>
          <w:bCs/>
          <w:color w:val="1F4E79"/>
          <w:sz w:val="30"/>
          <w:szCs w:val="30"/>
        </w:rPr>
        <w:t xml:space="preserve">11. Residual Questions</w:t>
      </w:r>
    </w:p>
    <w:p>
      <w:pPr>
        <w:spacing w:after="120" w:line="276"/>
      </w:pPr>
      <w:r>
        <w:t xml:space="preserve">These are deliberately unresolved. Each must be answered as an explicit acceptance criterion during implementation rather than assumed, since this document is the source of truth and does not yet settle them.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32"/>
        <w:gridCol w:w="8394"/>
      </w:tblGrid>
      <w:tr>
        <w:trPr>
          <w:tblHeader/>
        </w:trPr>
        <w:tc>
          <w:tcPr>
            <w:tcW w:type="dxa" w:w="632"/>
            <w:shd w:fill="DCE6F1" w:val="clear"/>
            <w:tcMar>
              <w:top w:type="dxa" w:w="80"/>
              <w:left w:type="dxa" w:w="120"/>
              <w:bottom w:type="dxa" w:w="80"/>
              <w:right w:type="dxa" w:w="120"/>
            </w:tcMar>
          </w:tcPr>
          <w:p>
            <w:pPr>
              <w:spacing w:after="0" w:line="264"/>
            </w:pPr>
            <w:r>
              <w:rPr>
                <w:b/>
                <w:bCs/>
                <w:sz w:val="19"/>
                <w:szCs w:val="19"/>
              </w:rPr>
              <w:t xml:space="preserve">#</w:t>
            </w:r>
          </w:p>
        </w:tc>
        <w:tc>
          <w:tcPr>
            <w:tcW w:type="dxa" w:w="8394"/>
            <w:shd w:fill="DCE6F1" w:val="clear"/>
            <w:tcMar>
              <w:top w:type="dxa" w:w="80"/>
              <w:left w:type="dxa" w:w="120"/>
              <w:bottom w:type="dxa" w:w="80"/>
              <w:right w:type="dxa" w:w="120"/>
            </w:tcMar>
          </w:tcPr>
          <w:p>
            <w:pPr>
              <w:spacing w:after="0" w:line="264"/>
            </w:pPr>
            <w:r>
              <w:rPr>
                <w:b/>
                <w:bCs/>
                <w:sz w:val="19"/>
                <w:szCs w:val="19"/>
              </w:rPr>
              <w:t xml:space="preserve">Question</w:t>
            </w:r>
          </w:p>
        </w:tc>
      </w:tr>
      <w:tr>
        <w:tc>
          <w:tcPr>
            <w:tcW w:type="dxa" w:w="632"/>
            <w:tcMar>
              <w:top w:type="dxa" w:w="80"/>
              <w:left w:type="dxa" w:w="120"/>
              <w:bottom w:type="dxa" w:w="80"/>
              <w:right w:type="dxa" w:w="120"/>
            </w:tcMar>
          </w:tcPr>
          <w:p>
            <w:pPr>
              <w:spacing w:after="0" w:line="264"/>
            </w:pPr>
            <w:r>
              <w:rPr>
                <w:sz w:val="19"/>
                <w:szCs w:val="19"/>
              </w:rPr>
              <w:t xml:space="preserve">R1</w:t>
            </w:r>
          </w:p>
        </w:tc>
        <w:tc>
          <w:tcPr>
            <w:tcW w:type="dxa" w:w="8394"/>
            <w:tcMar>
              <w:top w:type="dxa" w:w="80"/>
              <w:left w:type="dxa" w:w="120"/>
              <w:bottom w:type="dxa" w:w="80"/>
              <w:right w:type="dxa" w:w="120"/>
            </w:tcMar>
          </w:tcPr>
          <w:p>
            <w:pPr>
              <w:spacing w:after="0" w:line="264"/>
            </w:pPr>
            <w:r>
              <w:rPr>
                <w:sz w:val="19"/>
                <w:szCs w:val="19"/>
              </w:rPr>
              <w:t xml:space="preserve">Should the tool emit a non-blocking warning when Øspacer &lt; max(25, Øbar, 1.33 × Dagg)? §4.1 (A21) leaves the vertical direction unchecked.</w:t>
            </w:r>
          </w:p>
        </w:tc>
      </w:tr>
      <w:tr>
        <w:tc>
          <w:tcPr>
            <w:tcW w:type="dxa" w:w="632"/>
            <w:tcMar>
              <w:top w:type="dxa" w:w="80"/>
              <w:left w:type="dxa" w:w="120"/>
              <w:bottom w:type="dxa" w:w="80"/>
              <w:right w:type="dxa" w:w="120"/>
            </w:tcMar>
          </w:tcPr>
          <w:p>
            <w:pPr>
              <w:spacing w:after="0" w:line="264"/>
            </w:pPr>
            <w:r>
              <w:rPr>
                <w:sz w:val="19"/>
                <w:szCs w:val="19"/>
              </w:rPr>
              <w:t xml:space="preserve">R2</w:t>
            </w:r>
          </w:p>
        </w:tc>
        <w:tc>
          <w:tcPr>
            <w:tcW w:type="dxa" w:w="8394"/>
            <w:tcMar>
              <w:top w:type="dxa" w:w="80"/>
              <w:left w:type="dxa" w:w="120"/>
              <w:bottom w:type="dxa" w:w="80"/>
              <w:right w:type="dxa" w:w="120"/>
            </w:tcMar>
          </w:tcPr>
          <w:p>
            <w:pPr>
              <w:spacing w:after="0" w:line="264"/>
            </w:pPr>
            <w:r>
              <w:rPr>
                <w:sz w:val="19"/>
                <w:szCs w:val="19"/>
              </w:rPr>
              <w:t xml:space="preserve">Crack bar embedment depth. §5.3 fixes “straight, no hook” but not a length. A candidate consistent with §2 is Support width − Cover.</w:t>
            </w:r>
          </w:p>
        </w:tc>
      </w:tr>
      <w:tr>
        <w:tc>
          <w:tcPr>
            <w:tcW w:type="dxa" w:w="632"/>
            <w:tcMar>
              <w:top w:type="dxa" w:w="80"/>
              <w:left w:type="dxa" w:w="120"/>
              <w:bottom w:type="dxa" w:w="80"/>
              <w:right w:type="dxa" w:w="120"/>
            </w:tcMar>
          </w:tcPr>
          <w:p>
            <w:pPr>
              <w:spacing w:after="0" w:line="264"/>
            </w:pPr>
            <w:r>
              <w:rPr>
                <w:sz w:val="19"/>
                <w:szCs w:val="19"/>
              </w:rPr>
              <w:t xml:space="preserve">R3</w:t>
            </w:r>
          </w:p>
        </w:tc>
        <w:tc>
          <w:tcPr>
            <w:tcW w:type="dxa" w:w="8394"/>
            <w:tcMar>
              <w:top w:type="dxa" w:w="80"/>
              <w:left w:type="dxa" w:w="120"/>
              <w:bottom w:type="dxa" w:w="80"/>
              <w:right w:type="dxa" w:w="120"/>
            </w:tcMar>
          </w:tcPr>
          <w:p>
            <w:pPr>
              <w:spacing w:after="0" w:line="264"/>
            </w:pPr>
            <w:r>
              <w:rPr>
                <w:sz w:val="19"/>
                <w:szCs w:val="19"/>
              </w:rPr>
              <w:t xml:space="preserve">Unsupported-end anchorage length. §2.5 specifies a straight bar of LD, but with no support there is no region for that length to occupy. Either run to beam end − cover and warn that LD is not achieved, or require a manually supplied support width.</w:t>
            </w:r>
          </w:p>
        </w:tc>
      </w:tr>
      <w:tr>
        <w:tc>
          <w:tcPr>
            <w:tcW w:type="dxa" w:w="632"/>
            <w:tcMar>
              <w:top w:type="dxa" w:w="80"/>
              <w:left w:type="dxa" w:w="120"/>
              <w:bottom w:type="dxa" w:w="80"/>
              <w:right w:type="dxa" w:w="120"/>
            </w:tcMar>
          </w:tcPr>
          <w:p>
            <w:pPr>
              <w:spacing w:after="0" w:line="264"/>
            </w:pPr>
            <w:r>
              <w:rPr>
                <w:sz w:val="19"/>
                <w:szCs w:val="19"/>
              </w:rPr>
              <w:t xml:space="preserve">R4</w:t>
            </w:r>
          </w:p>
        </w:tc>
        <w:tc>
          <w:tcPr>
            <w:tcW w:type="dxa" w:w="8394"/>
            <w:tcMar>
              <w:top w:type="dxa" w:w="80"/>
              <w:left w:type="dxa" w:w="120"/>
              <w:bottom w:type="dxa" w:w="80"/>
              <w:right w:type="dxa" w:w="120"/>
            </w:tcMar>
          </w:tcPr>
          <w:p>
            <w:pPr>
              <w:spacing w:after="0" w:line="264"/>
            </w:pPr>
            <w:r>
              <w:rPr>
                <w:sz w:val="19"/>
                <w:szCs w:val="19"/>
              </w:rPr>
              <w:t xml:space="preserve">Zone-boundary duplicate stirrup. Can zone 1’s last bar and zone 2’s first bar coincide at L/3? Depends on the include-first / include-last flags. A prime candidate for the mock-object verification write-up.</w:t>
            </w:r>
          </w:p>
        </w:tc>
      </w:tr>
      <w:tr>
        <w:tc>
          <w:tcPr>
            <w:tcW w:type="dxa" w:w="632"/>
            <w:tcMar>
              <w:top w:type="dxa" w:w="80"/>
              <w:left w:type="dxa" w:w="120"/>
              <w:bottom w:type="dxa" w:w="80"/>
              <w:right w:type="dxa" w:w="120"/>
            </w:tcMar>
          </w:tcPr>
          <w:p>
            <w:pPr>
              <w:spacing w:after="0" w:line="264"/>
            </w:pPr>
            <w:r>
              <w:rPr>
                <w:sz w:val="19"/>
                <w:szCs w:val="19"/>
              </w:rPr>
              <w:t xml:space="preserve">R5</w:t>
            </w:r>
          </w:p>
        </w:tc>
        <w:tc>
          <w:tcPr>
            <w:tcW w:type="dxa" w:w="8394"/>
            <w:tcMar>
              <w:top w:type="dxa" w:w="80"/>
              <w:left w:type="dxa" w:w="120"/>
              <w:bottom w:type="dxa" w:w="80"/>
              <w:right w:type="dxa" w:w="120"/>
            </w:tcMar>
          </w:tcPr>
          <w:p>
            <w:pPr>
              <w:spacing w:after="0" w:line="264"/>
            </w:pPr>
            <w:r>
              <w:rPr>
                <w:sz w:val="19"/>
                <w:szCs w:val="19"/>
              </w:rPr>
              <w:t xml:space="preserve">Non-perpendicular wall support: is “width” the wall thickness or the swept intersection length?</w:t>
            </w:r>
          </w:p>
        </w:tc>
      </w:tr>
      <w:tr>
        <w:tc>
          <w:tcPr>
            <w:tcW w:type="dxa" w:w="632"/>
            <w:tcMar>
              <w:top w:type="dxa" w:w="80"/>
              <w:left w:type="dxa" w:w="120"/>
              <w:bottom w:type="dxa" w:w="80"/>
              <w:right w:type="dxa" w:w="120"/>
            </w:tcMar>
          </w:tcPr>
          <w:p>
            <w:pPr>
              <w:spacing w:after="0" w:line="264"/>
            </w:pPr>
            <w:r>
              <w:rPr>
                <w:sz w:val="19"/>
                <w:szCs w:val="19"/>
              </w:rPr>
              <w:t xml:space="preserve">R6</w:t>
            </w:r>
          </w:p>
        </w:tc>
        <w:tc>
          <w:tcPr>
            <w:tcW w:type="dxa" w:w="8394"/>
            <w:tcMar>
              <w:top w:type="dxa" w:w="80"/>
              <w:left w:type="dxa" w:w="120"/>
              <w:bottom w:type="dxa" w:w="80"/>
              <w:right w:type="dxa" w:w="120"/>
            </w:tcMar>
          </w:tcPr>
          <w:p>
            <w:pPr>
              <w:spacing w:after="0" w:line="264"/>
            </w:pPr>
            <w:r>
              <w:rPr>
                <w:sz w:val="19"/>
                <w:szCs w:val="19"/>
              </w:rPr>
              <w:t xml:space="preserve">Type 3 inner loop — dimensions, diameter and corner rule. This is the gap that parks type 3 (A31).</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1b79526341ffe0529d598f78fee144ca25653aa.png"/><Relationship Id="rId8" Type="http://schemas.openxmlformats.org/officeDocument/2006/relationships/image" Target="media/71c0219fa009073377c60e4c442ce3aa2512f157.png"/><Relationship Id="rId9" Type="http://schemas.openxmlformats.org/officeDocument/2006/relationships/image" Target="media/00687bbd92f751a5b634dec26892019dd860edb4.png"/><Relationship Id="rId10" Type="http://schemas.openxmlformats.org/officeDocument/2006/relationships/image" Target="media/4a9afff01387063bd662147757f6de0f3aa074a4.png"/><Relationship Id="rId11" Type="http://schemas.openxmlformats.org/officeDocument/2006/relationships/image" Target="media/6e3fb66bb11814f0e383ccd4aabfe8e093e172b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Beam Rebar Detailing — Technical Specification (Rev 2)</dc:title>
  <dc:creator>Essam Kader</dc:creator>
  <dc:description>Detailing spec for single-span rectangular concrete beams, revision 2</dc:description>
  <cp:lastModifiedBy>Un-named</cp:lastModifiedBy>
  <cp:revision>1</cp:revision>
  <dcterms:created xsi:type="dcterms:W3CDTF">2026-09-08T10:13:53.201Z</dcterms:created>
  <dcterms:modified xsi:type="dcterms:W3CDTF">2026-09-08T10:13:53.201Z</dcterms:modified>
</cp:coreProperties>
</file>

<file path=docProps/custom.xml><?xml version="1.0" encoding="utf-8"?>
<Properties xmlns="http://schemas.openxmlformats.org/officeDocument/2006/custom-properties" xmlns:vt="http://schemas.openxmlformats.org/officeDocument/2006/docPropsVTypes"/>
</file>