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widowControl w:val="false"/>
        <w:spacing w:after="200" w:before="0" w:line="264" w:lineRule="auto"/>
        <w:jc w:val="both"/>
      </w:pPr>
      <w:r>
        <w:rPr>
          <w:rFonts w:ascii="Calibri" w:cs="Calibri" w:eastAsia="Times New Roman" w:hAnsi="Calibri"/>
          <w:sz w:val="22"/>
          <w:szCs w:val="22"/>
          <w:lang w:eastAsia="en-GB"/>
        </w:rPr>
        <w:t>Dear Editor in Chief,</w:t>
      </w:r>
    </w:p>
    <w:p>
      <w:pPr>
        <w:pStyle w:val="style24"/>
        <w:widowControl w:val="false"/>
        <w:spacing w:after="200" w:before="0" w:line="264" w:lineRule="auto"/>
        <w:jc w:val="both"/>
      </w:pPr>
      <w:r>
        <w:rPr>
          <w:rFonts w:ascii="Calibri" w:cs="Calibri" w:eastAsia="Times New Roman" w:hAnsi="Calibri"/>
          <w:sz w:val="22"/>
          <w:szCs w:val="22"/>
          <w:lang w:eastAsia="en-GB"/>
        </w:rPr>
        <w:t>Please find below our response to the associate editor and the reviewers.</w:t>
      </w:r>
    </w:p>
    <w:p>
      <w:pPr>
        <w:pStyle w:val="style24"/>
        <w:widowControl w:val="false"/>
        <w:spacing w:after="200" w:before="0" w:line="264" w:lineRule="auto"/>
        <w:jc w:val="both"/>
      </w:pPr>
      <w:r>
        <w:rPr>
          <w:rFonts w:ascii="Calibri" w:cs="Calibri" w:eastAsia="Times New Roman" w:hAnsi="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w:t>
      </w:r>
    </w:p>
    <w:p>
      <w:pPr>
        <w:pStyle w:val="style24"/>
        <w:widowControl w:val="false"/>
        <w:spacing w:after="200" w:before="0" w:line="264" w:lineRule="auto"/>
        <w:jc w:val="both"/>
      </w:pPr>
      <w:r>
        <w:rPr>
          <w:rFonts w:ascii="Calibri" w:cs="Calibri" w:eastAsia="Times New Roman" w:hAnsi="Calibri"/>
          <w:sz w:val="22"/>
          <w:szCs w:val="22"/>
          <w:lang w:eastAsia="en-GB"/>
        </w:rPr>
        <w:t xml:space="preserve">The revised paper is a significant improvement over the last version. We hope the reviewers will agree with our belief that the manuscript is now acceptable for publication. </w:t>
      </w:r>
    </w:p>
    <w:p>
      <w:pPr>
        <w:pStyle w:val="style24"/>
        <w:widowControl w:val="false"/>
        <w:spacing w:after="200" w:before="0" w:line="264" w:lineRule="auto"/>
        <w:jc w:val="both"/>
      </w:pPr>
      <w:r>
        <w:rPr/>
      </w:r>
    </w:p>
    <w:p>
      <w:pPr>
        <w:pStyle w:val="style24"/>
        <w:widowControl w:val="false"/>
        <w:spacing w:after="200" w:before="0" w:line="264" w:lineRule="auto"/>
        <w:jc w:val="both"/>
      </w:pPr>
      <w:r>
        <w:rPr>
          <w:rFonts w:ascii="Calibri" w:cs="Calibri" w:eastAsia="Times New Roman" w:hAnsi="Calibri"/>
          <w:sz w:val="22"/>
          <w:szCs w:val="22"/>
          <w:lang w:eastAsia="en-GB"/>
        </w:rPr>
        <w:t>Yours sincerely,</w:t>
      </w:r>
    </w:p>
    <w:p>
      <w:pPr>
        <w:pStyle w:val="style24"/>
        <w:widowControl w:val="false"/>
        <w:spacing w:after="200" w:before="0" w:line="264" w:lineRule="auto"/>
        <w:jc w:val="both"/>
      </w:pPr>
      <w:r>
        <w:rPr>
          <w:rFonts w:ascii="Calibri" w:cs="Calibri" w:eastAsia="Times New Roman" w:hAnsi="Calibri"/>
          <w:sz w:val="22"/>
          <w:szCs w:val="22"/>
          <w:lang w:eastAsia="en-GB"/>
        </w:rPr>
        <w:t xml:space="preserve">Diego Perez, </w:t>
      </w:r>
    </w:p>
    <w:p>
      <w:pPr>
        <w:pStyle w:val="style24"/>
        <w:widowControl w:val="false"/>
        <w:spacing w:after="200" w:before="0" w:line="264" w:lineRule="auto"/>
        <w:jc w:val="both"/>
      </w:pPr>
      <w:r>
        <w:rPr>
          <w:rFonts w:ascii="Calibri" w:cs="Calibri" w:eastAsia="Times New Roman" w:hAnsi="Calibri"/>
          <w:sz w:val="22"/>
          <w:szCs w:val="22"/>
          <w:lang w:eastAsia="en-GB"/>
        </w:rPr>
        <w:t>Corresponding Author.</w:t>
      </w:r>
    </w:p>
    <w:p>
      <w:pPr>
        <w:pStyle w:val="style24"/>
      </w:pPr>
      <w:r>
        <w:rPr/>
      </w:r>
    </w:p>
    <w:p>
      <w:pPr>
        <w:pStyle w:val="style24"/>
      </w:pPr>
      <w:r>
        <w:rPr/>
      </w:r>
    </w:p>
    <w:p>
      <w:pPr>
        <w:pStyle w:val="style24"/>
        <w:widowControl w:val="false"/>
        <w:spacing w:after="200" w:before="0" w:line="264" w:lineRule="auto"/>
        <w:jc w:val="both"/>
      </w:pPr>
      <w:r>
        <w:rPr>
          <w:rFonts w:ascii="Calibri" w:cs="Times New Roman" w:eastAsia="Times New Roman" w:hAnsi="Calibri"/>
          <w:b/>
          <w:sz w:val="24"/>
          <w:szCs w:val="24"/>
          <w:lang w:eastAsia="en-GB"/>
        </w:rPr>
        <w:t>Response to Associate Editor and to Reviewers</w:t>
      </w:r>
    </w:p>
    <w:p>
      <w:pPr>
        <w:pStyle w:val="style24"/>
        <w:widowControl w:val="false"/>
        <w:spacing w:after="200" w:before="0" w:line="264" w:lineRule="auto"/>
        <w:jc w:val="both"/>
      </w:pPr>
      <w:r>
        <w:rPr>
          <w:rFonts w:ascii="Calibri" w:cs="Times New Roman" w:eastAsia="Times New Roman" w:hAnsi="Calibri"/>
          <w:sz w:val="24"/>
          <w:szCs w:val="24"/>
          <w:lang w:eastAsia="en-GB"/>
        </w:rPr>
        <w:t xml:space="preserve">Note: we have put our responses in red to mark them out clearly. We have left the reviewers' comments exactly as they were. We use </w:t>
      </w:r>
      <w:r>
        <w:rPr>
          <w:rFonts w:ascii="Arial" w:cs="Times New Roman" w:eastAsia="Times New Roman" w:hAnsi="Arial"/>
          <w:b/>
          <w:color w:val="800000"/>
          <w:sz w:val="20"/>
          <w:szCs w:val="24"/>
          <w:lang w:eastAsia="en-GB"/>
        </w:rPr>
        <w:t>red bold face</w:t>
      </w:r>
      <w:r>
        <w:rPr>
          <w:rFonts w:ascii="Calibri" w:cs="Times New Roman" w:eastAsia="Times New Roman" w:hAnsi="Calibri"/>
          <w:sz w:val="24"/>
          <w:szCs w:val="24"/>
          <w:lang w:eastAsia="en-GB"/>
        </w:rPr>
        <w:t xml:space="preserve"> for our response within this document, and </w:t>
      </w:r>
      <w:r>
        <w:rPr>
          <w:rFonts w:ascii="Calibri" w:cs="Times New Roman" w:eastAsia="Times New Roman" w:hAnsi="Calibri"/>
          <w:i/>
          <w:color w:val="800000"/>
          <w:sz w:val="20"/>
          <w:szCs w:val="24"/>
          <w:lang w:eastAsia="en-GB"/>
        </w:rPr>
        <w:t>red italic face</w:t>
      </w:r>
      <w:r>
        <w:rPr>
          <w:rFonts w:ascii="Calibri" w:cs="Times New Roman" w:eastAsia="Times New Roman" w:hAnsi="Calibri"/>
          <w:sz w:val="24"/>
          <w:szCs w:val="24"/>
          <w:lang w:eastAsia="en-GB"/>
        </w:rPr>
        <w:t xml:space="preserve"> when quoting snippets of text from the paper.</w:t>
      </w:r>
    </w:p>
    <w:p>
      <w:pPr>
        <w:pStyle w:val="style0"/>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Associate Editor</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Thanks for this comment. We have added references to new approaches such as NSGA-III, SMS-MOEA and MOEA/D. Additionally, we have changed the text related to NSGA-II: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NSGA-II is known to deliver solutions with very good diversity and convergence to the Pareto-front for 2-objective problems. However, for problems with more than 3 objectives, other approaches such as NSGA-III (Jain 2013), SMS-EMOA (Beume 2007) and MOEA/D (Zhang 2007) are shown to outperform NSGA-II.</w:t>
      </w:r>
    </w:p>
    <w:p>
      <w:pPr>
        <w:pStyle w:val="style24"/>
        <w:widowControl w:val="false"/>
        <w:spacing w:after="200" w:before="0" w:line="264" w:lineRule="auto"/>
        <w:jc w:val="both"/>
      </w:pPr>
      <w:r>
        <w:rPr>
          <w:rFonts w:ascii="Arial" w:cs="Times New Roman" w:eastAsia="Times New Roman" w:hAnsi="Arial"/>
          <w:b/>
          <w:bCs/>
          <w:i w:val="false"/>
          <w:iCs w:val="false"/>
          <w:color w:val="800000"/>
          <w:sz w:val="20"/>
          <w:szCs w:val="24"/>
          <w:lang w:eastAsia="en-GB"/>
        </w:rPr>
        <w:t xml:space="preserve">These references are: </w:t>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b w:val="false"/>
          <w:bCs w:val="false"/>
          <w:i/>
          <w:iCs/>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
    </w:p>
    <w:p>
      <w:pPr>
        <w:pStyle w:val="style24"/>
        <w:widowControl w:val="false"/>
        <w:spacing w:after="200" w:before="0" w:line="264" w:lineRule="auto"/>
        <w:jc w:val="both"/>
      </w:pPr>
      <w:r>
        <w:rPr>
          <w:rFonts w:ascii="Arial" w:cs="Times New Roman" w:eastAsia="Times New Roman" w:hAnsi="Arial"/>
          <w:sz w:val="20"/>
          <w:szCs w:val="24"/>
          <w:lang w:eastAsia="en-GB"/>
        </w:rPr>
        <w:t>"Due to the very large branching factor of Go, this game is considered the drosophila of Game AI"</w:t>
      </w:r>
    </w:p>
    <w:p>
      <w:pPr>
        <w:pStyle w:val="style24"/>
        <w:widowControl w:val="false"/>
        <w:spacing w:after="200" w:before="0" w:line="264" w:lineRule="auto"/>
        <w:jc w:val="both"/>
      </w:pPr>
      <w:r>
        <w:rPr>
          <w:rFonts w:ascii="Arial" w:cs="Times New Roman" w:eastAsia="Times New Roman" w:hAnsi="Arial"/>
          <w:sz w:val="20"/>
          <w:szCs w:val="24"/>
          <w:lang w:eastAsia="en-GB"/>
        </w:rPr>
        <w:t>This is in, my mind, a somewhat misleading metaphor. The main advantage of the drosophila is that it is easy to study and affect all the myriad phenotypical traits of the fly; Go, on the other hand, has almost no variations at all (only the same game played on different board sizes).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removed this metaphor, highlighting the broad use of this game by researchers in the last years. This now reads as follows:</w:t>
      </w:r>
    </w:p>
    <w:p>
      <w:pPr>
        <w:pStyle w:val="style24"/>
        <w:widowControl w:val="false"/>
        <w:spacing w:after="200" w:before="0" w:line="264" w:lineRule="auto"/>
        <w:jc w:val="both"/>
      </w:pPr>
      <w:bookmarkStart w:id="0" w:name="_GoBack"/>
      <w:bookmarkEnd w:id="0"/>
      <w:r>
        <w:rPr>
          <w:rFonts w:ascii="Arial" w:cs="Times New Roman" w:eastAsia="Times New Roman" w:hAnsi="Arial"/>
          <w:i/>
          <w:color w:val="800000"/>
          <w:sz w:val="20"/>
          <w:szCs w:val="24"/>
          <w:lang w:eastAsia="en-GB"/>
        </w:rPr>
        <w:t>Due to the very large branching factor of the game and the absence of clear heuristics to tackle it, Go became object of study for many researchers. MCTS was the first algorithm able to reach professional level play in the reduced board size version (Lee, 2009).</w:t>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1</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1. Table's caption should be on the topic of the table.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checked that all captions are in relation with the data shown in the tables across the paper.</w:t>
      </w:r>
    </w:p>
    <w:p>
      <w:pPr>
        <w:pStyle w:val="style24"/>
        <w:widowControl w:val="false"/>
        <w:spacing w:after="200" w:before="0" w:line="264" w:lineRule="auto"/>
        <w:jc w:val="both"/>
      </w:pPr>
      <w:r>
        <w:rPr>
          <w:rFonts w:ascii="Arial" w:cs="Times New Roman" w:eastAsia="Times New Roman" w:hAnsi="Arial"/>
          <w:sz w:val="20"/>
          <w:szCs w:val="24"/>
          <w:lang w:eastAsia="en-GB"/>
        </w:rPr>
        <w:t>2. The authors should make an experiment to campare with other approaches.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Following the associate editor comments, no additional experiments have been performed. We agree with this reviewer that a comparison with more approaches would be interesting, although we believe that we have incorporated those that are the most relevant to this study.</w:t>
      </w:r>
    </w:p>
    <w:p>
      <w:pPr>
        <w:pStyle w:val="style24"/>
        <w:widowControl w:val="false"/>
        <w:spacing w:after="200" w:before="0" w:line="264" w:lineRule="auto"/>
        <w:jc w:val="both"/>
      </w:pPr>
      <w:r>
        <w:rPr>
          <w:rFonts w:ascii="Arial" w:cs="Times New Roman" w:eastAsia="Times New Roman" w:hAnsi="Arial"/>
          <w:sz w:val="20"/>
          <w:szCs w:val="24"/>
          <w:lang w:eastAsia="en-GB"/>
        </w:rPr>
        <w:t>3. The authors should give their motivation and contribution in the revised version.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pPr>
        <w:pStyle w:val="style24"/>
        <w:widowControl w:val="false"/>
        <w:spacing w:after="200" w:before="0" w:line="264" w:lineRule="auto"/>
        <w:jc w:val="both"/>
      </w:pPr>
      <w:r>
        <w:rPr>
          <w:rFonts w:ascii="Arial" w:cs="Times New Roman" w:eastAsia="Times New Roman" w:hAnsi="Arial"/>
          <w:sz w:val="20"/>
          <w:szCs w:val="24"/>
          <w:lang w:eastAsia="en-GB"/>
        </w:rPr>
        <w:t>4. The authors should cite much newer related journal papers.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We have added three new papers: </w:t>
      </w:r>
    </w:p>
    <w:p>
      <w:pPr>
        <w:pStyle w:val="style24"/>
        <w:widowControl w:val="false"/>
        <w:spacing w:line="264" w:lineRule="auto"/>
        <w:jc w:val="both"/>
      </w:pPr>
      <w:r>
        <w:rPr>
          <w:rFonts w:ascii="Arial" w:cs="Times New Roman" w:eastAsia="Times New Roman" w:hAnsi="Arial"/>
          <w:i/>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
    </w:p>
    <w:p>
      <w:pPr>
        <w:pStyle w:val="style24"/>
        <w:widowControl w:val="false"/>
        <w:spacing w:after="200" w:before="0" w:line="264" w:lineRule="auto"/>
        <w:jc w:val="both"/>
      </w:pPr>
      <w:r>
        <w:rPr>
          <w:rFonts w:ascii="Arial" w:cs="Times New Roman" w:eastAsia="Times New Roman" w:hAnsi="Arial"/>
          <w:b/>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after="200" w:before="0" w:line="264" w:lineRule="auto"/>
        <w:jc w:val="both"/>
      </w:pPr>
      <w:r>
        <w:rPr>
          <w:rFonts w:ascii="Arial" w:cs="Times New Roman" w:eastAsia="Times New Roman" w:hAnsi="Arial"/>
          <w:sz w:val="20"/>
          <w:szCs w:val="24"/>
          <w:lang w:eastAsia="en-GB"/>
        </w:rPr>
        <w:t>5. The authors should mention what is the difference between the proposed method and the published multi-objective optimization.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this reviewer refers to Wang's approach. Both approaches (especially ours) are described in depth in the paper. These two approaches are quite different, apart from using Pareto fronts at some point during the algorithm. We believe that stating that our algorithm is “influenced by Wang's approach” and that “some modifications are needed” may be a bit misleading, so we have rewritten this paragraph in Section IV, just before explaining our technique in detail:</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pPr>
        <w:pStyle w:val="style24"/>
      </w:pPr>
      <w:r>
        <w:rPr/>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2</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
    </w:p>
    <w:p>
      <w:pPr>
        <w:pStyle w:val="style24"/>
        <w:widowControl w:val="false"/>
        <w:spacing w:after="200" w:before="0" w:line="264" w:lineRule="auto"/>
        <w:jc w:val="both"/>
      </w:pPr>
      <w:r>
        <w:rPr>
          <w:rFonts w:ascii="Arial" w:cs="Times New Roman" w:eastAsia="Times New Roman" w:hAnsi="Arial"/>
          <w:sz w:val="20"/>
          <w:szCs w:val="24"/>
          <w:lang w:eastAsia="en-GB"/>
        </w:rPr>
        <w:t>Abstract: the layout overflows.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that this is something that only happens in the PDF version from manuscript central (as well as some other font changes in the title and the authors' lines). We have checked that the new PDF submitted does not have this problem.</w:t>
      </w:r>
    </w:p>
    <w:p>
      <w:pPr>
        <w:pStyle w:val="style24"/>
        <w:widowControl w:val="false"/>
        <w:spacing w:after="200" w:before="0" w:line="264" w:lineRule="auto"/>
        <w:jc w:val="both"/>
      </w:pPr>
      <w:r>
        <w:rPr>
          <w:rFonts w:ascii="Arial" w:cs="Times New Roman" w:eastAsia="Times New Roman" w:hAnsi="Arial"/>
          <w:sz w:val="20"/>
          <w:szCs w:val="24"/>
          <w:lang w:eastAsia="en-GB"/>
        </w:rPr>
        <w:t>Section II:</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"MCTS uses Upper Confidence Bound (UCB1, see Equation 1) as a Tree Policy" UCB1 is a popular algorithm, but not the only one used in MCTS. Hence this sentence should be rephrased "Our implementation of MCTS uses Upper Confidence Bound... This tree policy was proposed in: L. Kocsis and C. Szepesvari. 2006 (Bandit based monte-carlo planning).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This paragraph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it chooses between taking an action that leads to states with the best outcome found so far, and performing a move to go to less explored game states, respectively. In order to achieve this, Kocsis and Szepesvari (Kocsis, 2006) applied Upper Confidence Bound (UCB1, see Equation 1) as a Tree Policy.</w:t>
      </w:r>
      <w:r>
        <w:rPr>
          <w:rFonts w:ascii="Arial" w:cs="Times New Roman" w:eastAsia="Times New Roman" w:hAnsi="Arial"/>
          <w:sz w:val="20"/>
          <w:szCs w:val="24"/>
          <w:lang w:eastAsia="en-GB"/>
        </w:rPr>
        <w:t xml:space="preserve"> </w:t>
      </w:r>
    </w:p>
    <w:p>
      <w:pPr>
        <w:pStyle w:val="style24"/>
        <w:widowControl w:val="false"/>
        <w:spacing w:after="200" w:before="0" w:line="264" w:lineRule="auto"/>
        <w:jc w:val="both"/>
      </w:pPr>
      <w:r>
        <w:rPr>
          <w:rFonts w:ascii="Arial" w:cs="Times New Roman" w:eastAsia="Times New Roman" w:hAnsi="Arial"/>
          <w:sz w:val="20"/>
          <w:szCs w:val="24"/>
          <w:lang w:eastAsia="en-GB"/>
        </w:rPr>
        <w:t>The formalisation of MCTS that is used in this paper was proposed in Chaslot et al 2007 (Progressive strategies for Monte Carlo Tree search), as well as Chaslot 2010 (Monte Carlo Tree Search), one of which could also be cited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An inaccurate reference was given at the fourth paragraph of section II. We have changed it to cite Chaslot 2007, “Progressive Strategies for Monte-Carlo Tree Search”</w:t>
      </w:r>
      <w:r>
        <w:rPr>
          <w:rFonts w:ascii="Arial" w:cs="Times New Roman" w:eastAsia="Times New Roman" w:hAnsi="Arial"/>
          <w:sz w:val="20"/>
          <w:szCs w:val="24"/>
          <w:lang w:eastAsia="en-GB"/>
        </w:rPr>
        <w:t>.</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"as it balances both facets of the search when the rewards are normalized between 0 and 1" This balance is application dependant. In Go for instance, coefficients much lower are used. Hence, the sentence should be reformulated to make clear that this coefficient is application dependant.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stressed that sqrt(2) is a typical value for single-player games, and added a note about its dependence to the game employed. This sentence reads as follows now:</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A commonly used value for single-player games is sqrt(2), as it balances both facets of the search when the rewards are normalized between 0 and 1. The value of C is application dependant, and it may vary from game to game.</w:t>
      </w:r>
    </w:p>
    <w:p>
      <w:pPr>
        <w:pStyle w:val="style24"/>
        <w:widowControl w:val="false"/>
        <w:spacing w:after="200" w:before="0" w:line="264" w:lineRule="auto"/>
        <w:jc w:val="both"/>
      </w:pPr>
      <w:r>
        <w:rPr>
          <w:rFonts w:ascii="Arial" w:cs="Times New Roman" w:eastAsia="Times New Roman" w:hAnsi="Arial"/>
          <w:sz w:val="20"/>
          <w:szCs w:val="24"/>
          <w:lang w:eastAsia="en-GB"/>
        </w:rPr>
        <w:t>"A clear example" -&gt; 'Clear' should be omited.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You mention SameGame for monte carlo tree search with a reference from 2010. Monte Carlo Tree Search was used in the game of SameGame by Schadd et al 2008 "Single-Player Monte-Carlo Tree Search", please also mention this reference.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are now citing Schadd et al 2008 instead.</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Similarly, MCTS was applied to Morpion Solitaire first in "Reflexive Monte-Carlo Search", T. Cazenave. CGW 2007, pp. 165-173", please include this reference too.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Citation 31: what are the authors?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The dash line indicates that the authors are the same as the ones from the previous reference. We believe this is an accepted IEEE reference format.</w:t>
      </w:r>
    </w:p>
    <w:p>
      <w:pPr>
        <w:pStyle w:val="style24"/>
        <w:widowControl w:val="false"/>
        <w:spacing w:after="200" w:before="0" w:line="264" w:lineRule="auto"/>
        <w:jc w:val="both"/>
      </w:pPr>
      <w:r>
        <w:rPr>
          <w:rFonts w:ascii="Arial" w:cs="Times New Roman" w:eastAsia="Times New Roman" w:hAnsi="Arial"/>
          <w:sz w:val="20"/>
          <w:szCs w:val="24"/>
          <w:lang w:eastAsia="en-GB"/>
        </w:rPr>
        <w:t>Page 8, top of the page:</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"1) Macro-actions for MO-PTSP </w:t>
      </w:r>
    </w:p>
    <w:p>
      <w:pPr>
        <w:pStyle w:val="style24"/>
        <w:widowControl w:val="false"/>
        <w:spacing w:after="200" w:before="0" w:line="264" w:lineRule="auto"/>
        <w:jc w:val="both"/>
      </w:pPr>
      <w:r>
        <w:rPr>
          <w:rFonts w:ascii="Arial" w:cs="Times New Roman" w:eastAsia="Times New Roman" w:hAnsi="Arial"/>
          <w:sz w:val="20"/>
          <w:szCs w:val="24"/>
          <w:lang w:eastAsia="en-GB"/>
        </w:rPr>
        <w:t>2)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Should there be a title before? Those two sections seems to come out of the blue.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These are subsubsections from V.B. Similar sections were also included in V.A. In both cases, these subsections described heuristics applied to each game. We have reorganized the subsections of this section to make things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V.A Deep Sea Treasure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V.B Heuristics for DST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V.C Multi-objective PTSP</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V.D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If possible, please put Table II in the previous page, so the results shown relate with the text.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re-organized figure 9 and tables I-III, so they show up in the correct order. The distances between each table and the texts that refer to them have been minimized as much as possible.</w:t>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3</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First of all, I am not too happy about the choice of the NSGA-II as comparison algorithm. It is true that many people still use it, but cannot really state that it is state-of-the-art. It may still be good for comparisons in 2 objectives, but allready in 3 objectives, it is well-known for years that other multi-objective algorithms are better (there are several newer developments, one of these that is especially near to the NSGA-II concerning implementation issues is the SMS-EMOA that is just more greedy).</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You are right. We added citations to the NSGA-III, SMS-EMOA and MOEA/D. They are known in the literature to outperform NSGA-II, particularly for problems with more than 3 objectives. However, for 3-objective problems, NSGA-II is more or less outperformed in terms of the diversity of the solutions. For our 3-Objective MO-PTSP problem, the spread of our solutions along the Pareto-front doesn’t play a critical role and we indeed obtain desirable solutions in our approximated Pareto-front. Nevertheless, NSGA-II can be replaced by any other multi-objective optimization method for future studies.   </w:t>
      </w:r>
    </w:p>
    <w:p>
      <w:pPr>
        <w:pStyle w:val="style24"/>
        <w:widowControl w:val="false"/>
        <w:spacing w:after="200" w:before="0" w:line="264" w:lineRule="auto"/>
        <w:jc w:val="both"/>
      </w:pPr>
      <w:r>
        <w:rPr>
          <w:rFonts w:ascii="Arial" w:cs="Times New Roman" w:eastAsia="Times New Roman" w:hAnsi="Arial"/>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On Page 3, we refer to the true Pareto-front. All over the paper we deal with the approximated Pareto-front or the non-dominated front.</w:t>
      </w:r>
    </w:p>
    <w:p>
      <w:pPr>
        <w:pStyle w:val="style24"/>
        <w:widowControl w:val="false"/>
        <w:spacing w:after="200" w:before="0" w:line="264" w:lineRule="auto"/>
        <w:jc w:val="both"/>
      </w:pPr>
      <w:r>
        <w:rPr>
          <w:rFonts w:ascii="Arial" w:cs="Times New Roman" w:eastAsia="Times New Roman" w:hAnsi="Arial"/>
          <w:sz w:val="20"/>
          <w:szCs w:val="24"/>
          <w:lang w:eastAsia="en-GB"/>
        </w:rPr>
        <w:t>And if 2 solutions are not dominating each other, they are incomparable, aren't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changed this to the standard notation:</w:t>
      </w:r>
    </w:p>
    <w:p>
      <w:pPr>
        <w:pStyle w:val="style24"/>
        <w:widowControl w:val="false"/>
        <w:spacing w:after="200" w:before="0" w:line="264" w:lineRule="auto"/>
        <w:jc w:val="both"/>
      </w:pPr>
      <w:r>
        <w:rPr>
          <w:rFonts w:ascii="Arial" w:cs="Times New Roman" w:eastAsia="Times New Roman" w:hAnsi="Arial"/>
          <w:b w:val="false"/>
          <w:bCs w:val="false"/>
          <w:i/>
          <w:iCs/>
          <w:color w:val="800000"/>
          <w:sz w:val="20"/>
          <w:szCs w:val="24"/>
          <w:lang w:eastAsia="en-GB"/>
        </w:rPr>
        <w:t>In this case, it is said that they are indifferent to each other.</w:t>
      </w:r>
    </w:p>
    <w:p>
      <w:pPr>
        <w:pStyle w:val="style24"/>
        <w:widowControl w:val="false"/>
        <w:spacing w:after="200" w:before="0" w:line="264" w:lineRule="auto"/>
        <w:jc w:val="both"/>
      </w:pPr>
      <w:r>
        <w:rPr>
          <w:rFonts w:ascii="Arial" w:cs="Times New Roman" w:eastAsia="Times New Roman" w:hAnsi="Arial"/>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it is possible and contemplated by the algorithm. Every new generation, the population is truncated to its defined size. The individuals are sorted according to their rank (first) and their crowding distance (second). For a population of size N, only the first N are kept, while the others are discarded. We have incorporated the following changes to make this clearer: first, at the end of the paragraph before the three bullet points: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they are ranked according to a dominance criterion and a crowding distance measure, which are used to maintain a good diversity of solutions.</w:t>
      </w:r>
      <w:r>
        <w:rPr>
          <w:color w:val="000000"/>
        </w:rPr>
        <w:t xml:space="preserve"> </w:t>
      </w:r>
      <w:r>
        <w:rPr>
          <w:rFonts w:ascii="Arial" w:cs="Times New Roman" w:eastAsia="Times New Roman" w:hAnsi="Arial"/>
          <w:i/>
          <w:color w:val="800000"/>
          <w:sz w:val="20"/>
          <w:szCs w:val="24"/>
          <w:lang w:eastAsia="en-GB"/>
        </w:rPr>
        <w:t>After each iteration of the algorithm, only the best N individuals according to this ranking are maintained to the next generation.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Secondly, we have reworded the “Elitism” bullet point:</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Elitism: The individuals from the first front F</w:t>
      </w:r>
      <w:r>
        <w:rPr>
          <w:rFonts w:ascii="Arial" w:cs="Times New Roman" w:eastAsia="Times New Roman" w:hAnsi="Arial"/>
          <w:i/>
          <w:color w:val="800000"/>
          <w:sz w:val="20"/>
          <w:szCs w:val="24"/>
          <w:vertAlign w:val="subscript"/>
          <w:lang w:eastAsia="en-GB"/>
        </w:rPr>
        <w:t>0</w:t>
      </w:r>
      <w:r>
        <w:rPr>
          <w:rFonts w:ascii="Arial" w:cs="Times New Roman" w:eastAsia="Times New Roman" w:hAnsi="Arial"/>
          <w:i/>
          <w:color w:val="800000"/>
          <w:sz w:val="20"/>
          <w:szCs w:val="24"/>
          <w:lang w:eastAsia="en-GB"/>
        </w:rPr>
        <w:t xml:space="preserve"> are always ranked first, according to the dominance criterion and their crowding distance. This ensures that the best solutions always survive to the next generation.</w:t>
      </w:r>
    </w:p>
    <w:p>
      <w:pPr>
        <w:pStyle w:val="style24"/>
        <w:widowControl w:val="false"/>
        <w:spacing w:after="200" w:before="0" w:line="264" w:lineRule="auto"/>
        <w:jc w:val="both"/>
      </w:pPr>
      <w:r>
        <w:rPr>
          <w:rFonts w:ascii="Arial" w:cs="Times New Roman" w:eastAsia="Times New Roman" w:hAnsi="Arial"/>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the algorithm contemplates this possibility. This paragraph has been modified and it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pPr>
        <w:pStyle w:val="style24"/>
        <w:widowControl w:val="false"/>
        <w:spacing w:after="200" w:before="0" w:line="264" w:lineRule="auto"/>
        <w:jc w:val="both"/>
      </w:pPr>
      <w:r>
        <w:rPr>
          <w:rFonts w:ascii="Arial" w:cs="Times New Roman" w:eastAsia="Times New Roman" w:hAnsi="Arial"/>
          <w:sz w:val="20"/>
          <w:szCs w:val="24"/>
          <w:lang w:eastAsia="en-GB"/>
        </w:rPr>
        <w:t>Concerning the experimental part: on page 9 you use the term "experiment" as a synonym for "runs" or "repeats". That is somewhat confusing, to me an experiment is a higher level concept, and you partly use the term as such. Just repeating for statistical reasons is not really a new experiment.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Two modifications have been made. In the second paragraph of Section VI:</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100 experiments have been run for each pair --&gt; 100 runs have been performed for each pair</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Also, in Section VI.B, fifth paragraph:</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the same number of experiments is run for --&gt; the same number of runs is performed for </w:t>
      </w:r>
    </w:p>
    <w:p>
      <w:pPr>
        <w:pStyle w:val="style24"/>
        <w:widowControl w:val="false"/>
        <w:spacing w:after="200" w:before="0" w:line="264" w:lineRule="auto"/>
        <w:jc w:val="both"/>
      </w:pPr>
      <w:r>
        <w:rPr>
          <w:rFonts w:ascii="Arial" w:cs="Times New Roman" w:eastAsia="Times New Roman" w:hAnsi="Arial"/>
          <w:sz w:val="20"/>
          <w:szCs w:val="24"/>
          <w:lang w:eastAsia="en-GB"/>
        </w:rPr>
        <w:t>In table I, you imply that something is significantly better than something else in a statistical sense. How do you test that (details)?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changed this table to reflect the results in a better way. We include now the p-values, comparing the results from the objective with the highest weight and the results from the default weight vector (0.33,0.33,0.33). Significance is defined as having a p-value &lt; 0.05. We have changed the caption of this table, and it now reads as follows:</w:t>
      </w:r>
    </w:p>
    <w:p>
      <w:pPr>
        <w:pStyle w:val="style24"/>
        <w:widowControl w:val="false"/>
        <w:tabs>
          <w:tab w:leader="none" w:pos="720" w:val="left"/>
        </w:tabs>
        <w:suppressAutoHyphens w:val="true"/>
        <w:spacing w:after="200" w:before="0" w:line="264" w:lineRule="auto"/>
        <w:jc w:val="both"/>
      </w:pPr>
      <w:r>
        <w:rPr>
          <w:rFonts w:ascii="Arial" w:cs="Times New Roman" w:eastAsia="Times New Roman" w:hAnsi="Arial"/>
          <w:i/>
          <w:color w:val="800000"/>
          <w:sz w:val="20"/>
          <w:szCs w:val="24"/>
          <w:lang w:bidi="ar-SA" w:eastAsia="en-GB" w:val="en-GB"/>
        </w:rPr>
        <w:t>MO-PTSP averages with different weight vectors. Includes p-values for the objective with the highest weight. Results in bold are statistically significant (p-value &lt;0.05).</w:t>
      </w:r>
    </w:p>
    <w:p>
      <w:pPr>
        <w:pStyle w:val="style24"/>
        <w:widowControl w:val="false"/>
        <w:spacing w:after="200" w:before="0" w:line="264" w:lineRule="auto"/>
        <w:jc w:val="both"/>
      </w:pPr>
      <w:r>
        <w:rPr>
          <w:rFonts w:ascii="Arial" w:cs="Times New Roman" w:eastAsia="Times New Roman" w:hAnsi="Arial"/>
          <w:b/>
          <w:bCs/>
          <w:i w:val="false"/>
          <w:iCs w:val="false"/>
          <w:color w:val="800000"/>
          <w:sz w:val="20"/>
          <w:szCs w:val="24"/>
          <w:lang w:eastAsia="en-GB"/>
        </w:rPr>
        <w:t>The main text has also been changed to explain this better:</w:t>
      </w:r>
    </w:p>
    <w:p>
      <w:pPr>
        <w:pStyle w:val="style24"/>
        <w:widowControl w:val="false"/>
        <w:tabs>
          <w:tab w:leader="none" w:pos="720" w:val="left"/>
        </w:tabs>
        <w:suppressAutoHyphens w:val="true"/>
        <w:spacing w:after="200" w:before="0" w:line="264" w:lineRule="auto"/>
        <w:jc w:val="both"/>
      </w:pPr>
      <w:r>
        <w:rPr>
          <w:rFonts w:ascii="Arial" w:cs="Times New Roman" w:eastAsia="Times New Roman" w:hAnsi="Arial"/>
          <w:i/>
          <w:color w:val="800000"/>
          <w:sz w:val="20"/>
          <w:szCs w:val="24"/>
          <w:lang w:bidi="ar-SA" w:eastAsia="en-GB" w:val="en-GB"/>
        </w:rPr>
        <w:t>Table I shows the results of executing the MO-MCTS controller during 30 games in each one of the 10 maps of the MO-PTSP, for every weight vector. This table includes the averages obtained and the independent t-test p-value for the results of the objective with the highest weight, compared with the result from the default weight vector W</w:t>
      </w:r>
      <w:r>
        <w:rPr>
          <w:rFonts w:ascii="Arial" w:cs="Times New Roman" w:eastAsia="Times New Roman" w:hAnsi="Arial"/>
          <w:i/>
          <w:color w:val="800000"/>
          <w:sz w:val="20"/>
          <w:szCs w:val="24"/>
          <w:vertAlign w:val="subscript"/>
          <w:lang w:bidi="ar-SA" w:eastAsia="en-GB" w:val="en-GB"/>
        </w:rPr>
        <w:t>1</w:t>
      </w:r>
      <w:r>
        <w:rPr>
          <w:rFonts w:ascii="Arial" w:cs="Times New Roman" w:eastAsia="Times New Roman" w:hAnsi="Arial"/>
          <w:i/>
          <w:color w:val="800000"/>
          <w:sz w:val="20"/>
          <w:szCs w:val="24"/>
          <w:lang w:bidi="ar-SA" w:eastAsia="en-GB" w:val="en-GB"/>
        </w:rPr>
        <w:t xml:space="preserve"> = (0.33,0.33,0.33) in the same map. It can be seen that the highest weight in W leads, in most of the cases, to the best solution in that objective in the map. </w:t>
      </w:r>
    </w:p>
    <w:p>
      <w:pPr>
        <w:pStyle w:val="style24"/>
        <w:widowControl w:val="false"/>
        <w:spacing w:after="200" w:before="0" w:line="264" w:lineRule="auto"/>
        <w:jc w:val="both"/>
      </w:pPr>
      <w:r>
        <w:rPr>
          <w:rFonts w:ascii="Arial" w:cs="Times New Roman" w:eastAsia="Times New Roman" w:hAnsi="Arial"/>
          <w:sz w:val="20"/>
          <w:szCs w:val="24"/>
          <w:lang w:eastAsia="en-GB"/>
        </w:rPr>
        <w:t>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solution obtained by one algorithm dominate the one of the second algorithm? The description is a bit fuzzy here.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enhanced this explanation for clarity:</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Extending this comparison to all maps, each pair of algorithms ends with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,d). D is the number of maps where the first algorithm dominates the second. </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 is the amount of maps where no dominance can be established, either because the Mann-Whitney-Wilcoxon non-parametric test failed, or because there is no dominance according to the dominance rules described in Section III. Finally, d states the number of maps where the first is dominated by the second. For example,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,d) = (8,2,0) comparing algorithms A and B would mean that the results obtained by A dominate those from B in 8 of the 10 maps, and that it is not possible to derive any dominance in the other 2. Table II summarizes these results for all the algorithms tested.</w:t>
      </w:r>
    </w:p>
    <w:p>
      <w:pPr>
        <w:pStyle w:val="style24"/>
        <w:widowControl w:val="false"/>
        <w:spacing w:after="200" w:before="0" w:line="264" w:lineRule="auto"/>
        <w:jc w:val="both"/>
      </w:pPr>
      <w:r>
        <w:rPr>
          <w:rFonts w:ascii="Arial" w:cs="Times New Roman" w:eastAsia="Times New Roman" w:hAnsi="Arial"/>
          <w:sz w:val="20"/>
          <w:szCs w:val="24"/>
          <w:lang w:eastAsia="en-GB"/>
        </w:rPr>
        <w:t>Visualization: numbers are nice, but I imagine that especially table II would make a nice figure. Probably much easier to understand.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initially attempted to put this information into a figure, but it proved to be not easy to convey. After all, we are comparing four different approaches in a pairwise manner. For each comparison, there are four different weight vectors to check and, for each one of them, three numbers to show. This could be achieved with a 3D bars plot, but the number of bars to draw is too large. We believe the current table shows, in a clear snapshot, all the different comparisons made. We also believe that the most important piece of information is present and easy to understand: the number of maps where the approaches dominate each other.</w:t>
      </w:r>
    </w:p>
    <w:p>
      <w:pPr>
        <w:pStyle w:val="style24"/>
        <w:widowControl w:val="false"/>
        <w:spacing w:after="200" w:before="0" w:line="264" w:lineRule="auto"/>
        <w:jc w:val="both"/>
      </w:pPr>
      <w:r>
        <w:rPr>
          <w:rFonts w:ascii="Arial" w:cs="Times New Roman" w:eastAsia="Times New Roman" w:hAnsi="Arial"/>
          <w:sz w:val="20"/>
          <w:szCs w:val="24"/>
          <w:lang w:eastAsia="en-GB"/>
        </w:rPr>
        <w:t>The subsection VI/C is a bit different, it somehow appears when I was expecting some conclusions. I am not sure if it is really well placed here as it just touches on interesting extensions but does not really cover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left this section as it was. We believe its place in the paper is appropriate, after the MO-PTSP results discussion, as this is an extension of the research done in this game. We agree with the reviewer that this subsection is a little bit different from what is explained in the rest of the section, but we still believe it makes an interesting contribution, as it also motivates future work on this topic.</w:t>
      </w:r>
    </w:p>
    <w:p>
      <w:pPr>
        <w:pStyle w:val="style24"/>
        <w:widowControl w:val="false"/>
        <w:spacing w:after="200" w:before="0" w:line="264" w:lineRule="auto"/>
        <w:jc w:val="both"/>
      </w:pPr>
      <w:r>
        <w:rPr>
          <w:rFonts w:ascii="Arial" w:cs="Times New Roman" w:eastAsia="Times New Roman" w:hAnsi="Arial"/>
          <w:sz w:val="20"/>
          <w:szCs w:val="24"/>
          <w:lang w:eastAsia="en-GB"/>
        </w:rPr>
        <w:t>Minor things:</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 figure 2: the picture has an embedded copyright notice. I am not sure if this is ok with the publisher, maybe it should be put into the caption? It is very hard to read anyway.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copyright notice has been removed from the figure, and it is now cited as a reference: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Brockhoff, D. Tutorial on Evolutionary Multiobjective Optimization. Proceedings of the 15th Annual Conference Companion on Genetic and Evolutionary Computation, 2013, 307-334 </w:t>
      </w:r>
    </w:p>
    <w:p>
      <w:pPr>
        <w:pStyle w:val="style24"/>
        <w:widowControl w:val="false"/>
        <w:spacing w:after="200" w:before="0" w:line="264" w:lineRule="auto"/>
        <w:jc w:val="both"/>
      </w:pPr>
      <w:r>
        <w:rPr>
          <w:rFonts w:ascii="Arial" w:cs="Times New Roman" w:eastAsia="Times New Roman" w:hAnsi="Arial"/>
          <w:sz w:val="20"/>
          <w:szCs w:val="24"/>
          <w:lang w:eastAsia="en-GB"/>
        </w:rPr>
        <w:t>- page 3, left col: litrature -&gt; literature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 hardware named in the beginning of VI (experimentation): you really have a 230GHz server? Where can I order that?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actual value is 2.90GHz.</w:t>
      </w:r>
    </w:p>
    <w:sectPr>
      <w:type w:val="nextPage"/>
      <w:pgSz w:h="16838" w:w="11906"/>
      <w:pgMar w:bottom="1440" w:footer="0" w:gutter="0" w:header="0" w:left="1334" w:right="1335"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Plain Text Char"/>
    <w:basedOn w:val="style15"/>
    <w:next w:val="style16"/>
    <w:rPr>
      <w:rFonts w:ascii="Consolas" w:hAnsi="Consolas"/>
      <w:sz w:val="21"/>
      <w:szCs w:val="21"/>
    </w:rPr>
  </w:style>
  <w:style w:styleId="style17" w:type="character">
    <w:name w:val="Plain Text Char1"/>
    <w:basedOn w:val="style15"/>
    <w:next w:val="style17"/>
    <w:rPr>
      <w:rFonts w:ascii="Courier New" w:cs="Courier New" w:hAnsi="Courier New"/>
      <w:sz w:val="20"/>
      <w:szCs w:val="20"/>
    </w:rPr>
  </w:style>
  <w:style w:styleId="style18" w:type="character">
    <w:name w:val="Emphasis"/>
    <w:basedOn w:val="style15"/>
    <w:next w:val="style18"/>
    <w:rPr>
      <w:i/>
      <w:i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lain Text"/>
    <w:basedOn w:val="style0"/>
    <w:next w:val="style24"/>
    <w:pPr>
      <w:spacing w:after="0" w:before="0" w:line="100" w:lineRule="atLeast"/>
    </w:pPr>
    <w:rPr>
      <w:rFonts w:ascii="Consolas" w:hAnsi="Consolas"/>
      <w:sz w:val="21"/>
      <w:szCs w:val="21"/>
    </w:rPr>
  </w:style>
  <w:style w:styleId="style25" w:type="paragraph">
    <w:name w:val="Preformatted Text"/>
    <w:basedOn w:val="style0"/>
    <w:next w:val="style25"/>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2014-05-29T09:20:00.00Z</dcterms:created>
  <dc:creator>Diego</dc:creator>
  <cp:lastModifiedBy>Diego</cp:lastModifiedBy>
  <dcterms:modified xsi:type="dcterms:W3CDTF">2014-05-31T13:39:00.00Z</dcterms:modified>
  <cp:revision>19</cp:revision>
</cp:coreProperties>
</file>