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00"/>
        <w:jc w:val="center"/>
      </w:pPr>
      <w:r>
        <w:rPr>
          <w:b/>
          <w:sz w:val="28"/>
        </w:rPr>
        <w:t>CHAPTER THREE</w:t>
      </w:r>
    </w:p>
    <w:p>
      <w:pPr>
        <w:spacing w:before="240" w:after="200"/>
        <w:jc w:val="center"/>
      </w:pPr>
      <w:r>
        <w:rPr>
          <w:b/>
          <w:sz w:val="28"/>
        </w:rPr>
        <w:t>MATERIALS AND METHODS</w:t>
      </w:r>
    </w:p>
    <w:p>
      <w:pPr>
        <w:spacing w:before="240" w:after="80"/>
      </w:pPr>
      <w:r>
        <w:rPr>
          <w:b/>
          <w:sz w:val="24"/>
        </w:rPr>
        <w:t>3.1  Introduction</w:t>
      </w:r>
    </w:p>
    <w:p>
      <w:pPr>
        <w:jc w:val="both"/>
      </w:pPr>
      <w:r>
        <w:t>This chapter presents the materials and methods adopted in the design and implementation of GeoTrack, a geo-fenced mobile attendance monitoring system for academic institutions. It describes the research design, the hardware and software materials employed, the overall system architecture, and the mathematical models and algorithms that govern each functional subsystem. Particular emphasis is placed on the engineering formulations used for satellite-based positioning and geofencing, biometric (face) verification, device binding, attendance-time classification, and continuous presence verification, since these constitute the analytical core of the system.</w:t>
      </w:r>
    </w:p>
    <w:p>
      <w:pPr>
        <w:spacing w:before="240" w:after="80"/>
      </w:pPr>
      <w:r>
        <w:rPr>
          <w:b/>
          <w:sz w:val="24"/>
        </w:rPr>
        <w:t>3.2  Research Design</w:t>
      </w:r>
    </w:p>
    <w:p>
      <w:pPr>
        <w:jc w:val="both"/>
      </w:pPr>
      <w:r>
        <w:t>A Design and Development Research (DDR) approach was adopted, providing a systematic progression through problem analysis, system modelling, implementation, and evaluation. The system was realised as a three-tier client–server architecture comprising a presentation layer, an application (logic) layer, and a data layer, chosen for modularity, maintainability, and horizontal scalability. The presentation layer is a cross-platform React Native mobile application; the application layer is a Laravel RESTful backend exposing the system’s business logic over secure HTTPS; and the data layer is a relational database that persists users, courses, geofences, sessions, and attendance records. Embedded smartphone sensors (GPS receiver and front-facing camera) together with wireless connectivity provide the real-time data-acquisition channel for attendance verification.</w:t>
      </w:r>
    </w:p>
    <w:p>
      <w:pPr>
        <w:spacing w:before="240" w:after="80"/>
      </w:pPr>
      <w:r>
        <w:rPr>
          <w:b/>
          <w:sz w:val="24"/>
        </w:rPr>
        <w:t>3.3  Materials</w:t>
      </w:r>
    </w:p>
    <w:p>
      <w:pPr>
        <w:spacing w:before="160" w:after="40"/>
      </w:pPr>
      <w:r>
        <w:rPr>
          <w:b/>
          <w:i/>
          <w:sz w:val="24"/>
        </w:rPr>
        <w:t>3.3.1  Hardware Components</w:t>
      </w:r>
    </w:p>
    <w:p>
      <w:pPr>
        <w:pStyle w:val="ListBullet"/>
      </w:pPr>
      <w:r>
        <w:t>Smartphones (Android/iOS) equipped with GPS receivers, front-facing cameras, accelerometers, and wireless communication modules, serving as the data-acquisition and user-interface terminals.</w:t>
      </w:r>
    </w:p>
    <w:p>
      <w:pPr>
        <w:pStyle w:val="ListBullet"/>
      </w:pPr>
      <w:r>
        <w:t>Cloud/server infrastructure (Linux–Ubuntu) for application logic, data processing, storage, and scheduled background tasks.</w:t>
      </w:r>
    </w:p>
    <w:p>
      <w:pPr>
        <w:pStyle w:val="ListBullet"/>
      </w:pPr>
      <w:r>
        <w:t>Development workstations (laptops/desktops) for software development, simulation, and testing.</w:t>
      </w:r>
    </w:p>
    <w:p>
      <w:pPr>
        <w:spacing w:before="160" w:after="40"/>
      </w:pPr>
      <w:r>
        <w:rPr>
          <w:b/>
          <w:i/>
          <w:sz w:val="24"/>
        </w:rPr>
        <w:t>3.3.2  Software and Development Tools</w:t>
      </w:r>
    </w:p>
    <w:p>
      <w:pPr>
        <w:pStyle w:val="ListBullet"/>
      </w:pPr>
      <w:r>
        <w:t>Mobile application: React Native with TypeScript/JavaScript (Expo) for cross-platform deployment.</w:t>
      </w:r>
    </w:p>
    <w:p>
      <w:pPr>
        <w:pStyle w:val="ListBullet"/>
      </w:pPr>
      <w:r>
        <w:t>Backend and API: Laravel (PHP) implementing a RESTful API architecture with Sanctum token authentication.</w:t>
      </w:r>
    </w:p>
    <w:p>
      <w:pPr>
        <w:pStyle w:val="ListBullet"/>
      </w:pPr>
      <w:r>
        <w:t>Database: relational SQL database (MySQL/SQLite) for normalised data storage and query optimisation.</w:t>
      </w:r>
    </w:p>
    <w:p>
      <w:pPr>
        <w:pStyle w:val="ListBullet"/>
      </w:pPr>
      <w:r>
        <w:t>Cloud infrastructure: Nginx/Apache web server with SSL/TLS security and automated backups.</w:t>
      </w:r>
    </w:p>
    <w:p>
      <w:pPr>
        <w:spacing w:before="160" w:after="40"/>
      </w:pPr>
      <w:r>
        <w:rPr>
          <w:b/>
          <w:i/>
          <w:sz w:val="24"/>
        </w:rPr>
        <w:t>3.3.3  External APIs and Libraries</w:t>
      </w:r>
    </w:p>
    <w:p>
      <w:pPr>
        <w:pStyle w:val="ListBullet"/>
      </w:pPr>
      <w:r>
        <w:t>Google Maps and Geolocation APIs for accurate positioning and map rendering.</w:t>
      </w:r>
    </w:p>
    <w:p>
      <w:pPr>
        <w:pStyle w:val="ListBullet"/>
      </w:pPr>
      <w:r>
        <w:t>Geofencing logic (Haversine and ray-casting algorithms) to enforce spatial boundaries.</w:t>
      </w:r>
    </w:p>
    <w:p>
      <w:pPr>
        <w:pStyle w:val="ListBullet"/>
      </w:pPr>
      <w:r>
        <w:t>Face-recognition services (AWS Rekognition deep-CNN matching, with a local perceptual-hash fallback) for biometric verification.</w:t>
      </w:r>
    </w:p>
    <w:p>
      <w:pPr>
        <w:pStyle w:val="ListBullet"/>
      </w:pPr>
      <w:r>
        <w:t>Device-fingerprinting libraries for secure, unique device identification.</w:t>
      </w:r>
    </w:p>
    <w:p>
      <w:pPr>
        <w:pStyle w:val="ListBullet"/>
      </w:pPr>
      <w:r>
        <w:t>Axios for secure client–server communication over HTTPS.</w:t>
      </w:r>
    </w:p>
    <w:p>
      <w:pPr>
        <w:spacing w:before="240" w:after="80"/>
      </w:pPr>
      <w:r>
        <w:rPr>
          <w:b/>
          <w:sz w:val="24"/>
        </w:rPr>
        <w:t>3.4  System Architecture</w:t>
      </w:r>
    </w:p>
    <w:p>
      <w:pPr>
        <w:jc w:val="both"/>
      </w:pPr>
      <w:r>
        <w:t>The system follows the three-tier model illustrated in the block diagram (Figure 3.1). All inter-layer communication occurs over encrypted HTTPS channels; every sensitive request carries a bearer session token and a unique bound-device identifier (X-Device-UID) that the backend validates before any attendance operation is permitted. The application layer is decomposed into cooperating services — a Geofence Service, a Face-Match Service, a Scheduled-Session Service, and a Presence-Check Service — each encapsulating one verification responsibility.</w:t>
      </w:r>
    </w:p>
    <w:tbl>
      <w:tblPr>
        <w:tblW w:type="auto" w:w="0"/>
        <w:jc w:val="center"/>
        <w:tblLook w:firstColumn="1" w:firstRow="1" w:lastColumn="0" w:lastRow="0" w:noHBand="0" w:noVBand="1" w:val="04A0"/>
      </w:tblPr>
      <w:tblGrid>
        <w:gridCol w:w="8640"/>
      </w:tblGrid>
      <w:tr>
        <w:tc>
          <w:tcPr>
            <w:tcW w:type="dxa" w:w="7920"/>
            <w:tcBorders>
              <w:top w:val="single" w:sz="4" w:color="000000"/>
              <w:left w:val="single" w:sz="4" w:color="000000"/>
              <w:bottom w:val="single" w:sz="4" w:color="000000"/>
              <w:right w:val="single" w:sz="4" w:color="000000"/>
            </w:tcBorders>
          </w:tcPr>
          <w:p>
            <w:pPr>
              <w:jc w:val="center"/>
            </w:pPr>
            <w:r>
              <w:rPr>
                <w:b/>
                <w:color w:val="808080"/>
              </w:rPr>
              <w:t>[ INSERT SYSTEM BLOCK DIAGRAM HERE ]</w:t>
            </w:r>
          </w:p>
          <w:p/>
          <w:p/>
          <w:p/>
        </w:tc>
      </w:tr>
    </w:tbl>
    <w:p>
      <w:pPr>
        <w:spacing w:after="240"/>
        <w:jc w:val="center"/>
      </w:pPr>
      <w:r>
        <w:rPr>
          <w:b/>
          <w:sz w:val="22"/>
        </w:rPr>
        <w:t>Figure 3.1: Three-tier system block diagram of GeoTrack</w:t>
      </w:r>
    </w:p>
    <w:tbl>
      <w:tblPr>
        <w:tblW w:type="auto" w:w="0"/>
        <w:jc w:val="center"/>
        <w:tblLook w:firstColumn="1" w:firstRow="1" w:lastColumn="0" w:lastRow="0" w:noHBand="0" w:noVBand="1" w:val="04A0"/>
      </w:tblPr>
      <w:tblGrid>
        <w:gridCol w:w="8640"/>
      </w:tblGrid>
      <w:tr>
        <w:tc>
          <w:tcPr>
            <w:tcW w:type="dxa" w:w="7920"/>
            <w:tcBorders>
              <w:top w:val="single" w:sz="4" w:color="000000"/>
              <w:left w:val="single" w:sz="4" w:color="000000"/>
              <w:bottom w:val="single" w:sz="4" w:color="000000"/>
              <w:right w:val="single" w:sz="4" w:color="000000"/>
            </w:tcBorders>
          </w:tcPr>
          <w:p>
            <w:pPr>
              <w:jc w:val="center"/>
            </w:pPr>
            <w:r>
              <w:rPr>
                <w:b/>
                <w:color w:val="808080"/>
              </w:rPr>
              <w:t>[ INSERT SYSTEM FLOWCHART HERE ]</w:t>
            </w:r>
          </w:p>
          <w:p/>
          <w:p/>
          <w:p/>
        </w:tc>
      </w:tr>
    </w:tbl>
    <w:p>
      <w:pPr>
        <w:spacing w:after="240"/>
        <w:jc w:val="center"/>
      </w:pPr>
      <w:r>
        <w:rPr>
          <w:b/>
          <w:sz w:val="22"/>
        </w:rPr>
        <w:t>Figure 3.2: System workflow / attendance check-in flowchart</w:t>
      </w:r>
    </w:p>
    <w:p>
      <w:pPr>
        <w:spacing w:before="240" w:after="80"/>
      </w:pPr>
      <w:r>
        <w:rPr>
          <w:b/>
          <w:sz w:val="24"/>
        </w:rPr>
        <w:t>3.5  Subsystem Design and Mathematical Models</w:t>
      </w:r>
    </w:p>
    <w:p>
      <w:pPr>
        <w:jc w:val="both"/>
      </w:pPr>
      <w:r>
        <w:t>This section formalises the algorithms implemented in each verification subsystem. The equations below correspond directly to the deployed source code and define the decision rules the system applies at runtime.</w:t>
      </w:r>
    </w:p>
    <w:p>
      <w:pPr>
        <w:spacing w:before="160" w:after="40"/>
      </w:pPr>
      <w:r>
        <w:rPr>
          <w:b/>
          <w:i/>
          <w:sz w:val="24"/>
        </w:rPr>
        <w:t>3.5.1  Geolocation and Geofencing</w:t>
      </w:r>
    </w:p>
    <w:p>
      <w:pPr>
        <w:jc w:val="both"/>
      </w:pPr>
      <w:r>
        <w:t>A student’s instantaneous position is obtained from the smartphone GNSS receiver as a latitude–longitude pair, P = (φₚ, λₚ), reported with an estimated horizontal accuracy a (in metres). Each lecture venue is modelled either as a circular geofence defined by a centre C = (φ₀, λ₀) and radius r, or as an arbitrary polygon defined by an ordered set of vertices. Because positions lie on the Earth’s curved surface, planar distance is invalid; the great-circle (orthodromic) distance is therefore computed using the Haversine formulation.</w:t>
      </w:r>
    </w:p>
    <w:p>
      <w:pPr>
        <w:jc w:val="both"/>
      </w:pPr>
      <w:r>
        <w:t>The angular terms are first converted to radians:</w:t>
      </w:r>
    </w:p>
    <w:p>
      <w:pPr>
        <w:tabs>
          <w:tab w:pos="3744" w:val="center"/>
          <w:tab w:pos="7920" w:val="right"/>
        </w:tabs>
        <w:spacing w:before="120" w:after="120"/>
      </w:pPr>
      <w:r>
        <w:tab/>
      </w:r>
      <w:r>
        <w:rPr>
          <w:i w:val="0"/>
          <w:sz w:val="24"/>
        </w:rPr>
        <w:t>φ₁ = lat₁ · π/180,   φ₂ = lat₂ · π/180</w:t>
      </w:r>
      <w:r>
        <w:tab/>
      </w:r>
      <w:r>
        <w:rPr>
          <w:sz w:val="24"/>
        </w:rPr>
        <w:t>(3.1)</w:t>
      </w:r>
    </w:p>
    <w:p>
      <w:pPr>
        <w:tabs>
          <w:tab w:pos="3744" w:val="center"/>
          <w:tab w:pos="7920" w:val="right"/>
        </w:tabs>
        <w:spacing w:before="120" w:after="120"/>
      </w:pPr>
      <w:r>
        <w:tab/>
      </w:r>
      <w:r>
        <w:rPr>
          <w:i w:val="0"/>
          <w:sz w:val="24"/>
        </w:rPr>
        <w:t>Δφ = (lat₂ − lat₁) · π/180,   Δλ = (lng₂ − lng₁) · π/180</w:t>
      </w:r>
      <w:r>
        <w:tab/>
      </w:r>
      <w:r>
        <w:rPr>
          <w:sz w:val="24"/>
        </w:rPr>
        <w:t>(3.2)</w:t>
      </w:r>
    </w:p>
    <w:p>
      <w:pPr>
        <w:jc w:val="both"/>
      </w:pPr>
      <w:r>
        <w:t>The Haversine intermediate term a and angular distance c are then:</w:t>
      </w:r>
    </w:p>
    <w:p>
      <w:pPr>
        <w:tabs>
          <w:tab w:pos="3744" w:val="center"/>
          <w:tab w:pos="7920" w:val="right"/>
        </w:tabs>
        <w:spacing w:before="120" w:after="120"/>
      </w:pPr>
      <w:r>
        <w:tab/>
      </w:r>
      <w:r>
        <w:rPr>
          <w:i w:val="0"/>
          <w:sz w:val="24"/>
        </w:rPr>
        <w:t>a = sin²(Δφ/2) + cos φ₁ · cos φ₂ · sin²(Δλ/2)</w:t>
      </w:r>
      <w:r>
        <w:tab/>
      </w:r>
      <w:r>
        <w:rPr>
          <w:sz w:val="24"/>
        </w:rPr>
        <w:t>(3.3)</w:t>
      </w:r>
    </w:p>
    <w:p>
      <w:pPr>
        <w:tabs>
          <w:tab w:pos="3744" w:val="center"/>
          <w:tab w:pos="7920" w:val="right"/>
        </w:tabs>
        <w:spacing w:before="120" w:after="120"/>
      </w:pPr>
      <w:r>
        <w:tab/>
      </w:r>
      <w:r>
        <w:rPr>
          <w:i w:val="0"/>
          <w:sz w:val="24"/>
        </w:rPr>
        <w:t>c = 2 · atan2(√a, √(1 − a))</w:t>
      </w:r>
      <w:r>
        <w:tab/>
      </w:r>
      <w:r>
        <w:rPr>
          <w:sz w:val="24"/>
        </w:rPr>
        <w:t>(3.4)</w:t>
      </w:r>
    </w:p>
    <w:p>
      <w:pPr>
        <w:jc w:val="both"/>
      </w:pPr>
      <w:r>
        <w:t>and the surface distance between the two points is:</w:t>
      </w:r>
    </w:p>
    <w:p>
      <w:pPr>
        <w:tabs>
          <w:tab w:pos="3744" w:val="center"/>
          <w:tab w:pos="7920" w:val="right"/>
        </w:tabs>
        <w:spacing w:before="120" w:after="120"/>
      </w:pPr>
      <w:r>
        <w:tab/>
      </w:r>
      <w:r>
        <w:rPr>
          <w:i w:val="0"/>
          <w:sz w:val="24"/>
        </w:rPr>
        <w:t>d = R · c</w:t>
      </w:r>
      <w:r>
        <w:tab/>
      </w:r>
      <w:r>
        <w:rPr>
          <w:sz w:val="24"/>
        </w:rPr>
        <w:t>(3.5)</w:t>
      </w:r>
    </w:p>
    <w:p>
      <w:pPr>
        <w:spacing w:after="40"/>
      </w:pPr>
      <w:r>
        <w:rPr>
          <w:i/>
        </w:rPr>
        <w:t>where:</w:t>
      </w:r>
    </w:p>
    <w:p>
      <w:pPr>
        <w:spacing w:after="0"/>
        <w:ind w:left="720"/>
      </w:pPr>
      <w:r>
        <w:rPr>
          <w:i/>
        </w:rPr>
        <w:t>R</w:t>
      </w:r>
      <w:r>
        <w:t xml:space="preserve">  = 6,371,000 m, the mean radius of the Earth;</w:t>
      </w:r>
    </w:p>
    <w:p>
      <w:pPr>
        <w:spacing w:after="0"/>
        <w:ind w:left="720"/>
      </w:pPr>
      <w:r>
        <w:rPr>
          <w:i/>
        </w:rPr>
        <w:t>d</w:t>
      </w:r>
      <w:r>
        <w:t xml:space="preserve">  = the great-circle distance between the student and the venue centre (m);</w:t>
      </w:r>
    </w:p>
    <w:p>
      <w:pPr>
        <w:spacing w:after="0"/>
        <w:ind w:left="720"/>
      </w:pPr>
      <w:r>
        <w:rPr>
          <w:i/>
        </w:rPr>
        <w:t>φ, λ</w:t>
      </w:r>
      <w:r>
        <w:t xml:space="preserve">  = latitude and longitude in radians, respectively.</w:t>
      </w:r>
    </w:p>
    <w:p>
      <w:pPr>
        <w:jc w:val="both"/>
      </w:pPr>
      <w:r>
        <w:t>For a circular geofence, the student is judged to be physically present within the venue if, and only if, the computed distance does not exceed the configured radius:</w:t>
      </w:r>
    </w:p>
    <w:p>
      <w:pPr>
        <w:tabs>
          <w:tab w:pos="3744" w:val="center"/>
          <w:tab w:pos="7920" w:val="right"/>
        </w:tabs>
        <w:spacing w:before="120" w:after="120"/>
      </w:pPr>
      <w:r>
        <w:tab/>
      </w:r>
      <w:r>
        <w:rPr>
          <w:i/>
          <w:sz w:val="24"/>
        </w:rPr>
        <w:t>Inside</w:t>
      </w:r>
      <w:r>
        <w:rPr>
          <w:i w:val="0"/>
          <w:sz w:val="24"/>
        </w:rPr>
        <w:t xml:space="preserve"> = </w:t>
      </w:r>
      <w:r>
        <w:rPr>
          <w:i w:val="0"/>
          <w:sz w:val="24"/>
        </w:rPr>
        <w:t>true</w:t>
      </w:r>
      <w:r>
        <w:rPr>
          <w:i w:val="0"/>
          <w:sz w:val="24"/>
        </w:rPr>
        <w:t xml:space="preserve">,   if  </w:t>
      </w:r>
      <w:r>
        <w:rPr>
          <w:i w:val="0"/>
          <w:sz w:val="24"/>
        </w:rPr>
        <w:t>d ≤ r</w:t>
      </w:r>
      <w:r>
        <w:tab/>
      </w:r>
      <w:r>
        <w:rPr>
          <w:sz w:val="24"/>
        </w:rPr>
        <w:t>(3.6)</w:t>
      </w:r>
    </w:p>
    <w:p>
      <w:pPr>
        <w:jc w:val="both"/>
      </w:pPr>
      <w:r>
        <w:t>For a polygon venue, presence is determined by the ray-casting (even–odd) algorithm: a horizontal ray is projected from the test point P, and the number of polygon edges it crosses is counted. The point is inside when the crossing count is odd. For each edge (Vᵢ, Vⱼ) the crossing test is:</w:t>
      </w:r>
    </w:p>
    <w:p>
      <w:pPr>
        <w:tabs>
          <w:tab w:pos="3744" w:val="center"/>
          <w:tab w:pos="7920" w:val="right"/>
        </w:tabs>
        <w:spacing w:before="120" w:after="120"/>
      </w:pPr>
      <w:r>
        <w:tab/>
      </w:r>
      <w:r>
        <w:rPr>
          <w:i w:val="0"/>
          <w:sz w:val="24"/>
        </w:rPr>
        <w:t>(yᵢ &gt; yₚ) ≠ (yⱼ &gt; yₚ)  ∧  xₚ &lt; (xⱼ − xᵢ)(yₚ − yᵢ)/(yⱼ − yᵢ) + xᵢ</w:t>
      </w:r>
      <w:r>
        <w:tab/>
      </w:r>
      <w:r>
        <w:rPr>
          <w:sz w:val="24"/>
        </w:rPr>
        <w:t>(3.7)</w:t>
      </w:r>
    </w:p>
    <w:p>
      <w:pPr>
        <w:spacing w:after="40"/>
      </w:pPr>
      <w:r>
        <w:rPr>
          <w:i/>
        </w:rPr>
        <w:t>where:</w:t>
      </w:r>
    </w:p>
    <w:p>
      <w:pPr>
        <w:spacing w:after="0"/>
        <w:ind w:left="720"/>
      </w:pPr>
      <w:r>
        <w:rPr>
          <w:i/>
        </w:rPr>
        <w:t>(x, y)</w:t>
      </w:r>
      <w:r>
        <w:t xml:space="preserve">  = (longitude, latitude) of the polygon vertices and the test point;</w:t>
      </w:r>
    </w:p>
    <w:p>
      <w:pPr>
        <w:spacing w:after="0"/>
        <w:ind w:left="720"/>
      </w:pPr>
      <w:r>
        <w:rPr>
          <w:i/>
        </w:rPr>
        <w:t>odd crossings</w:t>
      </w:r>
      <w:r>
        <w:t xml:space="preserve">  ⇒ point is inside the polygon (attendance location valid).</w:t>
      </w:r>
    </w:p>
    <w:p>
      <w:pPr>
        <w:jc w:val="both"/>
      </w:pPr>
      <w:r>
        <w:t>To accommodate GNSS uncertainty, the reported accuracy a is retained with each record so that decisions for points lying within a few metres of the boundary can be audited. Only positions whose distance is genuinely within the radius are admitted, ensuring that remote or proxy check-ins outside the venue are rejected.</w:t>
      </w:r>
    </w:p>
    <w:p>
      <w:pPr>
        <w:spacing w:before="160" w:after="40"/>
      </w:pPr>
      <w:r>
        <w:rPr>
          <w:b/>
          <w:i/>
          <w:sz w:val="24"/>
        </w:rPr>
        <w:t>3.5.2  Biometric Identity Verification (Face Recognition)</w:t>
      </w:r>
    </w:p>
    <w:p>
      <w:pPr>
        <w:jc w:val="both"/>
      </w:pPr>
      <w:r>
        <w:t>To prevent impersonation, the identity of the person checking in is verified against a previously enrolled reference face. Two complementary techniques were implemented: a production-grade deep-learning matcher (AWS Rekognition) and a lightweight on-device perceptual-hash fallback. Both reduce a captured selfie to a compact descriptor and compare it with the enrolled descriptor using a similarity threshold.</w:t>
      </w:r>
    </w:p>
    <w:p>
      <w:pPr>
        <w:jc w:val="both"/>
      </w:pPr>
      <w:r>
        <w:t>(a) Perceptual average-hash matcher. The captured image is down-sampled to an N × N grid (N = 16, giving 256 pixels) and converted to greyscale using the standard luminance transform:</w:t>
      </w:r>
    </w:p>
    <w:p>
      <w:pPr>
        <w:tabs>
          <w:tab w:pos="3744" w:val="center"/>
          <w:tab w:pos="7920" w:val="right"/>
        </w:tabs>
        <w:spacing w:before="120" w:after="120"/>
      </w:pPr>
      <w:r>
        <w:tab/>
      </w:r>
      <w:r>
        <w:rPr>
          <w:i w:val="0"/>
          <w:sz w:val="24"/>
        </w:rPr>
        <w:t>Y = 0.299R + 0.587G + 0.114B</w:t>
      </w:r>
      <w:r>
        <w:tab/>
      </w:r>
      <w:r>
        <w:rPr>
          <w:sz w:val="24"/>
        </w:rPr>
        <w:t>(3.8)</w:t>
      </w:r>
    </w:p>
    <w:p>
      <w:pPr>
        <w:spacing w:after="40"/>
      </w:pPr>
      <w:r>
        <w:rPr>
          <w:i/>
        </w:rPr>
        <w:t>where:</w:t>
      </w:r>
    </w:p>
    <w:p>
      <w:pPr>
        <w:spacing w:after="0"/>
        <w:ind w:left="720"/>
      </w:pPr>
      <w:r>
        <w:rPr>
          <w:i/>
        </w:rPr>
        <w:t>Y</w:t>
      </w:r>
      <w:r>
        <w:t xml:space="preserve">  = greyscale luminance of a pixel;</w:t>
      </w:r>
    </w:p>
    <w:p>
      <w:pPr>
        <w:spacing w:after="0"/>
        <w:ind w:left="720"/>
      </w:pPr>
      <w:r>
        <w:rPr>
          <w:i/>
        </w:rPr>
        <w:t>R, G, B</w:t>
      </w:r>
      <w:r>
        <w:t xml:space="preserve">  = the red, green, and blue colour components (0–255).</w:t>
      </w:r>
    </w:p>
    <w:p>
      <w:pPr>
        <w:jc w:val="both"/>
      </w:pPr>
      <w:r>
        <w:t>The mean intensity of all pixels is computed as:</w:t>
      </w:r>
    </w:p>
    <w:p>
      <w:pPr>
        <w:tabs>
          <w:tab w:pos="3744" w:val="center"/>
          <w:tab w:pos="7920" w:val="right"/>
        </w:tabs>
        <w:spacing w:before="120" w:after="120"/>
      </w:pPr>
      <w:r>
        <w:tab/>
      </w:r>
      <w:r>
        <w:rPr>
          <w:i w:val="0"/>
          <w:sz w:val="24"/>
        </w:rPr>
        <w:t>μ = (1/N²) · Σᵢ Yᵢ</w:t>
      </w:r>
      <w:r>
        <w:tab/>
      </w:r>
      <w:r>
        <w:rPr>
          <w:sz w:val="24"/>
        </w:rPr>
        <w:t>(3.9)</w:t>
      </w:r>
    </w:p>
    <w:p>
      <w:pPr>
        <w:jc w:val="both"/>
      </w:pPr>
      <w:r>
        <w:t>A 256-bit binary hash H is then formed by thresholding each pixel against the mean, so the hash encodes the coarse structure of the face:</w:t>
      </w:r>
    </w:p>
    <w:p>
      <w:pPr>
        <w:tabs>
          <w:tab w:pos="3744" w:val="center"/>
          <w:tab w:pos="7920" w:val="right"/>
        </w:tabs>
        <w:spacing w:before="120" w:after="120"/>
      </w:pPr>
      <w:r>
        <w:tab/>
      </w:r>
      <w:r>
        <w:rPr>
          <w:i w:val="0"/>
          <w:sz w:val="24"/>
        </w:rPr>
        <w:t>bᵢ = 1  if  Yᵢ ≥ μ;   bᵢ = 0  otherwise</w:t>
      </w:r>
      <w:r>
        <w:tab/>
      </w:r>
      <w:r>
        <w:rPr>
          <w:sz w:val="24"/>
        </w:rPr>
        <w:t>(3.10)</w:t>
      </w:r>
    </w:p>
    <w:p>
      <w:pPr>
        <w:jc w:val="both"/>
      </w:pPr>
      <w:r>
        <w:t>At verification, the Hamming distance between the enrolled hash Hᵣ and the live hash Hₗ counts the number of differing bits:</w:t>
      </w:r>
    </w:p>
    <w:p>
      <w:pPr>
        <w:tabs>
          <w:tab w:pos="3744" w:val="center"/>
          <w:tab w:pos="7920" w:val="right"/>
        </w:tabs>
        <w:spacing w:before="120" w:after="120"/>
      </w:pPr>
      <w:r>
        <w:tab/>
      </w:r>
      <w:r>
        <w:rPr>
          <w:i w:val="0"/>
          <w:sz w:val="24"/>
        </w:rPr>
        <w:t>D(Hᵣ, Hₗ) = Σᵢ₌₁²⁵⁶ (bᵣ,ᵢ ⊕ bₗ,ᵢ)</w:t>
      </w:r>
      <w:r>
        <w:tab/>
      </w:r>
      <w:r>
        <w:rPr>
          <w:sz w:val="24"/>
        </w:rPr>
        <w:t>(3.11)</w:t>
      </w:r>
    </w:p>
    <w:p>
      <w:pPr>
        <w:jc w:val="both"/>
      </w:pPr>
      <w:r>
        <w:t>This distance is mapped to a percentage confidence score:</w:t>
      </w:r>
    </w:p>
    <w:p>
      <w:pPr>
        <w:tabs>
          <w:tab w:pos="3744" w:val="center"/>
          <w:tab w:pos="7920" w:val="right"/>
        </w:tabs>
        <w:spacing w:before="120" w:after="120"/>
      </w:pPr>
      <w:r>
        <w:tab/>
      </w:r>
      <w:r>
        <w:rPr>
          <w:i w:val="0"/>
          <w:sz w:val="24"/>
        </w:rPr>
        <w:t>Confidence = 100 · (1 − D/256)  %</w:t>
      </w:r>
      <w:r>
        <w:tab/>
      </w:r>
      <w:r>
        <w:rPr>
          <w:sz w:val="24"/>
        </w:rPr>
        <w:t>(3.12)</w:t>
      </w:r>
    </w:p>
    <w:p>
      <w:pPr>
        <w:jc w:val="both"/>
      </w:pPr>
      <w:r>
        <w:t>and the match decision applies an acceptance threshold on the distance:</w:t>
      </w:r>
    </w:p>
    <w:p>
      <w:pPr>
        <w:tabs>
          <w:tab w:pos="3744" w:val="center"/>
          <w:tab w:pos="7920" w:val="right"/>
        </w:tabs>
        <w:spacing w:before="120" w:after="120"/>
      </w:pPr>
      <w:r>
        <w:tab/>
      </w:r>
      <w:r>
        <w:rPr>
          <w:i/>
          <w:sz w:val="24"/>
        </w:rPr>
        <w:t>Match</w:t>
      </w:r>
      <w:r>
        <w:rPr>
          <w:i w:val="0"/>
          <w:sz w:val="24"/>
        </w:rPr>
        <w:t xml:space="preserve"> = </w:t>
      </w:r>
      <w:r>
        <w:rPr>
          <w:i w:val="0"/>
          <w:sz w:val="24"/>
        </w:rPr>
        <w:t>true</w:t>
      </w:r>
      <w:r>
        <w:rPr>
          <w:i w:val="0"/>
          <w:sz w:val="24"/>
        </w:rPr>
        <w:t xml:space="preserve">,   if  </w:t>
      </w:r>
      <w:r>
        <w:rPr>
          <w:i w:val="0"/>
          <w:sz w:val="24"/>
        </w:rPr>
        <w:t>D ≤ D</w:t>
      </w:r>
      <w:r>
        <w:rPr>
          <w:i w:val="0"/>
          <w:sz w:val="24"/>
        </w:rPr>
        <w:t>max</w:t>
      </w:r>
      <w:r>
        <w:tab/>
      </w:r>
      <w:r>
        <w:rPr>
          <w:sz w:val="24"/>
        </w:rPr>
        <w:t>(3.13)</w:t>
      </w:r>
    </w:p>
    <w:p>
      <w:pPr>
        <w:spacing w:after="40"/>
      </w:pPr>
      <w:r>
        <w:rPr>
          <w:i/>
        </w:rPr>
        <w:t>where:</w:t>
      </w:r>
    </w:p>
    <w:p>
      <w:pPr>
        <w:spacing w:after="0"/>
        <w:ind w:left="720"/>
      </w:pPr>
      <w:r>
        <w:rPr>
          <w:i/>
        </w:rPr>
        <w:t>⊕</w:t>
      </w:r>
      <w:r>
        <w:t xml:space="preserve">  = the bitwise exclusive-OR (XOR) operator;</w:t>
      </w:r>
    </w:p>
    <w:p>
      <w:pPr>
        <w:spacing w:after="0"/>
        <w:ind w:left="720"/>
      </w:pPr>
      <w:r>
        <w:rPr>
          <w:i/>
        </w:rPr>
        <w:t>D</w:t>
      </w:r>
      <w:r>
        <w:t xml:space="preserve">  = the Hamming distance between the two 256-bit hashes;</w:t>
      </w:r>
    </w:p>
    <w:p>
      <w:pPr>
        <w:spacing w:after="0"/>
        <w:ind w:left="720"/>
      </w:pPr>
      <w:r>
        <w:rPr>
          <w:i/>
        </w:rPr>
        <w:t>D</w:t>
      </w:r>
      <w:r>
        <w:t xml:space="preserve">  max = the calibrated acceptance distance (configurable per deployment).</w:t>
      </w:r>
    </w:p>
    <w:p>
      <w:pPr>
        <w:jc w:val="both"/>
      </w:pPr>
      <w:r>
        <w:t>(b) Deep-CNN matcher (AWS Rekognition). For production use, each face is encoded by a deep convolutional neural network into a high-dimensional embedding (feature) vector f ∈ ℝⁿ. The similarity between the enrolled embedding fᵣ and a live embedding fₗ is evaluated by cosine similarity:</w:t>
      </w:r>
    </w:p>
    <w:p>
      <w:pPr>
        <w:tabs>
          <w:tab w:pos="3744" w:val="center"/>
          <w:tab w:pos="7920" w:val="right"/>
        </w:tabs>
        <w:spacing w:before="120" w:after="120"/>
      </w:pPr>
      <w:r>
        <w:tab/>
      </w:r>
      <w:r>
        <w:rPr>
          <w:i w:val="0"/>
          <w:sz w:val="24"/>
        </w:rPr>
        <w:t>S(fᵣ, fₗ) = (fᵣ · fₗ) / (‖fᵣ‖ ‖fₗ‖)</w:t>
      </w:r>
      <w:r>
        <w:tab/>
      </w:r>
      <w:r>
        <w:rPr>
          <w:sz w:val="24"/>
        </w:rPr>
        <w:t>(3.14)</w:t>
      </w:r>
    </w:p>
    <w:p>
      <w:pPr>
        <w:jc w:val="both"/>
      </w:pPr>
      <w:r>
        <w:t>which the service reports as a similarity percentage. A face is accepted only when the similarity meets or exceeds the configured threshold T (with T = 90% for production matching and T = 70% adopted for the demonstration environment):</w:t>
      </w:r>
    </w:p>
    <w:p>
      <w:pPr>
        <w:tabs>
          <w:tab w:pos="3744" w:val="center"/>
          <w:tab w:pos="7920" w:val="right"/>
        </w:tabs>
        <w:spacing w:before="120" w:after="120"/>
      </w:pPr>
      <w:r>
        <w:tab/>
      </w:r>
      <w:r>
        <w:rPr>
          <w:i/>
          <w:sz w:val="24"/>
        </w:rPr>
        <w:t>Verified</w:t>
      </w:r>
      <w:r>
        <w:rPr>
          <w:i w:val="0"/>
          <w:sz w:val="24"/>
        </w:rPr>
        <w:t xml:space="preserve"> = </w:t>
      </w:r>
      <w:r>
        <w:rPr>
          <w:i w:val="0"/>
          <w:sz w:val="24"/>
        </w:rPr>
        <w:t>true</w:t>
      </w:r>
      <w:r>
        <w:rPr>
          <w:i w:val="0"/>
          <w:sz w:val="24"/>
        </w:rPr>
        <w:t xml:space="preserve">,   if  </w:t>
      </w:r>
      <w:r>
        <w:rPr>
          <w:i w:val="0"/>
          <w:sz w:val="24"/>
        </w:rPr>
        <w:t>S × 100 ≥ T</w:t>
      </w:r>
      <w:r>
        <w:tab/>
      </w:r>
      <w:r>
        <w:rPr>
          <w:sz w:val="24"/>
        </w:rPr>
        <w:t>(3.15)</w:t>
      </w:r>
    </w:p>
    <w:p>
      <w:pPr>
        <w:spacing w:before="160" w:after="40"/>
      </w:pPr>
      <w:r>
        <w:rPr>
          <w:b/>
          <w:i/>
          <w:sz w:val="24"/>
        </w:rPr>
        <w:t>3.5.3  Device Binding</w:t>
      </w:r>
    </w:p>
    <w:p>
      <w:pPr>
        <w:jc w:val="both"/>
      </w:pPr>
      <w:r>
        <w:t>Each device is assigned a unique, persistent fingerprint U derived from its hardware and platform attributes. On first authentication the fingerprint is bound to the user account; thereafter, every sensitive request must present the same identifier. The binding rule is:</w:t>
      </w:r>
    </w:p>
    <w:p>
      <w:pPr>
        <w:tabs>
          <w:tab w:pos="3744" w:val="center"/>
          <w:tab w:pos="7920" w:val="right"/>
        </w:tabs>
        <w:spacing w:before="120" w:after="120"/>
      </w:pPr>
      <w:r>
        <w:tab/>
      </w:r>
      <w:r>
        <w:rPr>
          <w:i/>
          <w:sz w:val="24"/>
        </w:rPr>
        <w:t>Allow</w:t>
      </w:r>
      <w:r>
        <w:rPr>
          <w:i w:val="0"/>
          <w:sz w:val="24"/>
        </w:rPr>
        <w:t xml:space="preserve"> = </w:t>
      </w:r>
      <w:r>
        <w:rPr>
          <w:i w:val="0"/>
          <w:sz w:val="24"/>
        </w:rPr>
        <w:t>true</w:t>
      </w:r>
      <w:r>
        <w:rPr>
          <w:i w:val="0"/>
          <w:sz w:val="24"/>
        </w:rPr>
        <w:t xml:space="preserve">,   if  </w:t>
      </w:r>
      <w:r>
        <w:rPr>
          <w:i w:val="0"/>
          <w:sz w:val="24"/>
        </w:rPr>
        <w:t>U</w:t>
      </w:r>
      <w:r>
        <w:rPr>
          <w:i w:val="0"/>
          <w:sz w:val="24"/>
        </w:rPr>
        <w:t>req</w:t>
      </w:r>
      <w:r>
        <w:rPr>
          <w:i w:val="0"/>
          <w:sz w:val="24"/>
        </w:rPr>
        <w:t xml:space="preserve"> = </w:t>
      </w:r>
      <w:r>
        <w:rPr>
          <w:i w:val="0"/>
          <w:sz w:val="24"/>
        </w:rPr>
        <w:t>U</w:t>
      </w:r>
      <w:r>
        <w:rPr>
          <w:i w:val="0"/>
          <w:sz w:val="24"/>
        </w:rPr>
        <w:t>bound</w:t>
      </w:r>
      <w:r>
        <w:rPr>
          <w:i w:val="0"/>
          <w:sz w:val="24"/>
        </w:rPr>
        <w:t xml:space="preserve">  ∧  revoked_at = NULL</w:t>
      </w:r>
      <w:r>
        <w:tab/>
      </w:r>
      <w:r>
        <w:rPr>
          <w:sz w:val="24"/>
        </w:rPr>
        <w:t>(3.16)</w:t>
      </w:r>
    </w:p>
    <w:p>
      <w:pPr>
        <w:spacing w:after="40"/>
      </w:pPr>
      <w:r>
        <w:rPr>
          <w:i/>
        </w:rPr>
        <w:t>where:</w:t>
      </w:r>
    </w:p>
    <w:p>
      <w:pPr>
        <w:spacing w:after="0"/>
        <w:ind w:left="720"/>
      </w:pPr>
      <w:r>
        <w:rPr>
          <w:i/>
        </w:rPr>
        <w:t>U</w:t>
      </w:r>
      <w:r>
        <w:t xml:space="preserve">  req = the device identifier presented on the request;</w:t>
      </w:r>
    </w:p>
    <w:p>
      <w:pPr>
        <w:spacing w:after="0"/>
        <w:ind w:left="720"/>
      </w:pPr>
      <w:r>
        <w:rPr>
          <w:i/>
        </w:rPr>
        <w:t>U</w:t>
      </w:r>
      <w:r>
        <w:t xml:space="preserve">  bound = the identifier stored against the account at first login.</w:t>
      </w:r>
    </w:p>
    <w:p>
      <w:pPr>
        <w:jc w:val="both"/>
      </w:pPr>
      <w:r>
        <w:t>A login from a second device (Uᵣₑₒ ≠ Uᵇₒᵤₙᵈ) is rejected until an authorised reset revokes the previous binding, directly mitigating proxy attendance by a different physical device.</w:t>
      </w:r>
    </w:p>
    <w:p>
      <w:pPr>
        <w:spacing w:before="160" w:after="40"/>
      </w:pPr>
      <w:r>
        <w:rPr>
          <w:b/>
          <w:i/>
          <w:sz w:val="24"/>
        </w:rPr>
        <w:t>3.5.4  Attendance Time Window and Status Classification</w:t>
      </w:r>
    </w:p>
    <w:p>
      <w:pPr>
        <w:jc w:val="both"/>
      </w:pPr>
      <w:r>
        <w:t>A session is only active within its scheduled window [tₛ, tₑ]. A check-in attempt at time t is admitted on the temporal axis only if:</w:t>
      </w:r>
    </w:p>
    <w:p>
      <w:pPr>
        <w:tabs>
          <w:tab w:pos="3744" w:val="center"/>
          <w:tab w:pos="7920" w:val="right"/>
        </w:tabs>
        <w:spacing w:before="120" w:after="120"/>
      </w:pPr>
      <w:r>
        <w:tab/>
      </w:r>
      <w:r>
        <w:rPr>
          <w:i w:val="0"/>
          <w:sz w:val="24"/>
        </w:rPr>
        <w:t>tₛ ≤ t &lt; tₑ  ∧  status = active</w:t>
      </w:r>
      <w:r>
        <w:tab/>
      </w:r>
      <w:r>
        <w:rPr>
          <w:sz w:val="24"/>
        </w:rPr>
        <w:t>(3.17)</w:t>
      </w:r>
    </w:p>
    <w:p>
      <w:pPr>
        <w:jc w:val="both"/>
      </w:pPr>
      <w:r>
        <w:t>The lateness of an admitted check-in is measured as:</w:t>
      </w:r>
    </w:p>
    <w:p>
      <w:pPr>
        <w:tabs>
          <w:tab w:pos="3744" w:val="center"/>
          <w:tab w:pos="7920" w:val="right"/>
        </w:tabs>
        <w:spacing w:before="120" w:after="120"/>
      </w:pPr>
      <w:r>
        <w:tab/>
      </w:r>
      <w:r>
        <w:rPr>
          <w:i w:val="0"/>
          <w:sz w:val="24"/>
        </w:rPr>
        <w:t>m = (t − tₛ)  [minutes]</w:t>
      </w:r>
      <w:r>
        <w:tab/>
      </w:r>
      <w:r>
        <w:rPr>
          <w:sz w:val="24"/>
        </w:rPr>
        <w:t>(3.18)</w:t>
      </w:r>
    </w:p>
    <w:p>
      <w:pPr>
        <w:jc w:val="both"/>
      </w:pPr>
      <w:r>
        <w:t>and the attendance status is classified against a tolerance τ (the late threshold):</w:t>
      </w:r>
    </w:p>
    <w:p>
      <w:pPr>
        <w:tabs>
          <w:tab w:pos="3744" w:val="center"/>
          <w:tab w:pos="7920" w:val="right"/>
        </w:tabs>
        <w:spacing w:before="120" w:after="120"/>
      </w:pPr>
      <w:r>
        <w:tab/>
      </w:r>
      <w:r>
        <w:rPr>
          <w:i/>
          <w:sz w:val="24"/>
        </w:rPr>
        <w:t>Status</w:t>
      </w:r>
      <w:r>
        <w:rPr>
          <w:i w:val="0"/>
          <w:sz w:val="24"/>
        </w:rPr>
        <w:t xml:space="preserve"> = </w:t>
      </w:r>
      <w:r>
        <w:rPr>
          <w:i w:val="0"/>
          <w:sz w:val="24"/>
        </w:rPr>
        <w:t>PRESENT</w:t>
      </w:r>
      <w:r>
        <w:rPr>
          <w:i w:val="0"/>
          <w:sz w:val="24"/>
        </w:rPr>
        <w:t xml:space="preserve">,  if  </w:t>
      </w:r>
      <w:r>
        <w:rPr>
          <w:i w:val="0"/>
          <w:sz w:val="24"/>
        </w:rPr>
        <w:t xml:space="preserve">m ≤ τ;    </w:t>
      </w:r>
      <w:r>
        <w:rPr>
          <w:i w:val="0"/>
          <w:sz w:val="24"/>
        </w:rPr>
        <w:t>LATE</w:t>
      </w:r>
      <w:r>
        <w:rPr>
          <w:i w:val="0"/>
          <w:sz w:val="24"/>
        </w:rPr>
        <w:t xml:space="preserve">,  if  </w:t>
      </w:r>
      <w:r>
        <w:rPr>
          <w:i w:val="0"/>
          <w:sz w:val="24"/>
        </w:rPr>
        <w:t>m &gt; τ</w:t>
      </w:r>
      <w:r>
        <w:tab/>
      </w:r>
      <w:r>
        <w:rPr>
          <w:sz w:val="24"/>
        </w:rPr>
        <w:t>(3.19)</w:t>
      </w:r>
    </w:p>
    <w:p>
      <w:pPr>
        <w:spacing w:after="40"/>
      </w:pPr>
      <w:r>
        <w:rPr>
          <w:i/>
        </w:rPr>
        <w:t>where:</w:t>
      </w:r>
    </w:p>
    <w:p>
      <w:pPr>
        <w:spacing w:after="0"/>
        <w:ind w:left="720"/>
      </w:pPr>
      <w:r>
        <w:rPr>
          <w:i/>
        </w:rPr>
        <w:t>tₛ, tₑ</w:t>
      </w:r>
      <w:r>
        <w:t xml:space="preserve">  = the scheduled start and end times of the session;</w:t>
      </w:r>
    </w:p>
    <w:p>
      <w:pPr>
        <w:spacing w:after="0"/>
        <w:ind w:left="720"/>
      </w:pPr>
      <w:r>
        <w:rPr>
          <w:i/>
        </w:rPr>
        <w:t>m</w:t>
      </w:r>
      <w:r>
        <w:t xml:space="preserve">  = minutes elapsed from the start time to the check-in instant;</w:t>
      </w:r>
    </w:p>
    <w:p>
      <w:pPr>
        <w:spacing w:after="0"/>
        <w:ind w:left="720"/>
      </w:pPr>
      <w:r>
        <w:rPr>
          <w:i/>
        </w:rPr>
        <w:t>τ</w:t>
      </w:r>
      <w:r>
        <w:t xml:space="preserve">  = the configured late-after threshold (minutes).</w:t>
      </w:r>
    </w:p>
    <w:p>
      <w:pPr>
        <w:spacing w:before="160" w:after="40"/>
      </w:pPr>
      <w:r>
        <w:rPr>
          <w:b/>
          <w:i/>
          <w:sz w:val="24"/>
        </w:rPr>
        <w:t>3.5.5  Continuous Presence Verification</w:t>
      </w:r>
    </w:p>
    <w:p>
      <w:pPr>
        <w:jc w:val="both"/>
      </w:pPr>
      <w:r>
        <w:t>To confirm that a student remains in the venue for the duration of the lecture — not merely at sign-in — the backend issues randomised presence checks during an active session. A new check is dispatched to checked-in students only when the elapsed time since the previous check exceeds the configured interval I:</w:t>
      </w:r>
    </w:p>
    <w:p>
      <w:pPr>
        <w:tabs>
          <w:tab w:pos="3744" w:val="center"/>
          <w:tab w:pos="7920" w:val="right"/>
        </w:tabs>
        <w:spacing w:before="120" w:after="120"/>
      </w:pPr>
      <w:r>
        <w:tab/>
      </w:r>
      <w:r>
        <w:rPr>
          <w:i/>
          <w:sz w:val="24"/>
        </w:rPr>
        <w:t>Trigger</w:t>
      </w:r>
      <w:r>
        <w:rPr>
          <w:i w:val="0"/>
          <w:sz w:val="24"/>
        </w:rPr>
        <w:t xml:space="preserve"> = </w:t>
      </w:r>
      <w:r>
        <w:rPr>
          <w:i w:val="0"/>
          <w:sz w:val="24"/>
        </w:rPr>
        <w:t>true</w:t>
      </w:r>
      <w:r>
        <w:rPr>
          <w:i w:val="0"/>
          <w:sz w:val="24"/>
        </w:rPr>
        <w:t xml:space="preserve">,   if  </w:t>
      </w:r>
      <w:r>
        <w:rPr>
          <w:i w:val="0"/>
          <w:sz w:val="24"/>
        </w:rPr>
        <w:t>(t</w:t>
      </w:r>
      <w:r>
        <w:rPr>
          <w:i w:val="0"/>
          <w:sz w:val="24"/>
        </w:rPr>
        <w:t>now</w:t>
      </w:r>
      <w:r>
        <w:rPr>
          <w:i w:val="0"/>
          <w:sz w:val="24"/>
        </w:rPr>
        <w:t xml:space="preserve"> − t</w:t>
      </w:r>
      <w:r>
        <w:rPr>
          <w:i w:val="0"/>
          <w:sz w:val="24"/>
        </w:rPr>
        <w:t>last</w:t>
      </w:r>
      <w:r>
        <w:rPr>
          <w:i w:val="0"/>
          <w:sz w:val="24"/>
        </w:rPr>
        <w:t>) ≥ I</w:t>
      </w:r>
      <w:r>
        <w:tab/>
      </w:r>
      <w:r>
        <w:rPr>
          <w:sz w:val="24"/>
        </w:rPr>
        <w:t>(3.20)</w:t>
      </w:r>
    </w:p>
    <w:p>
      <w:pPr>
        <w:jc w:val="both"/>
      </w:pPr>
      <w:r>
        <w:t>Each presence check expires after a fixed response window (5 minutes); a student who fails to confirm presence from inside the venue accrues a missed check. The integrity of a record is captured by the present-throughout flag:</w:t>
      </w:r>
    </w:p>
    <w:p>
      <w:pPr>
        <w:tabs>
          <w:tab w:pos="3744" w:val="center"/>
          <w:tab w:pos="7920" w:val="right"/>
        </w:tabs>
        <w:spacing w:before="120" w:after="120"/>
      </w:pPr>
      <w:r>
        <w:tab/>
      </w:r>
      <w:r>
        <w:rPr>
          <w:i/>
          <w:sz w:val="24"/>
        </w:rPr>
        <w:t>PresentThroughout</w:t>
      </w:r>
      <w:r>
        <w:rPr>
          <w:i w:val="0"/>
          <w:sz w:val="24"/>
        </w:rPr>
        <w:t xml:space="preserve"> = </w:t>
      </w:r>
      <w:r>
        <w:rPr>
          <w:i w:val="0"/>
          <w:sz w:val="24"/>
        </w:rPr>
        <w:t>true</w:t>
      </w:r>
      <w:r>
        <w:rPr>
          <w:i w:val="0"/>
          <w:sz w:val="24"/>
        </w:rPr>
        <w:t xml:space="preserve">  ⇔  </w:t>
      </w:r>
      <w:r>
        <w:rPr>
          <w:i w:val="0"/>
          <w:sz w:val="24"/>
        </w:rPr>
        <w:t>M = 0</w:t>
      </w:r>
      <w:r>
        <w:tab/>
      </w:r>
      <w:r>
        <w:rPr>
          <w:sz w:val="24"/>
        </w:rPr>
        <w:t>(3.21)</w:t>
      </w:r>
    </w:p>
    <w:p>
      <w:pPr>
        <w:spacing w:after="40"/>
      </w:pPr>
      <w:r>
        <w:rPr>
          <w:i/>
        </w:rPr>
        <w:t>where:</w:t>
      </w:r>
    </w:p>
    <w:p>
      <w:pPr>
        <w:spacing w:after="0"/>
        <w:ind w:left="720"/>
      </w:pPr>
      <w:r>
        <w:rPr>
          <w:i/>
        </w:rPr>
        <w:t>M</w:t>
      </w:r>
      <w:r>
        <w:t xml:space="preserve">  = the number of missed presence checks for the record;</w:t>
      </w:r>
    </w:p>
    <w:p>
      <w:pPr>
        <w:spacing w:after="0"/>
        <w:ind w:left="720"/>
      </w:pPr>
      <w:r>
        <w:rPr>
          <w:i/>
        </w:rPr>
        <w:t>I</w:t>
      </w:r>
      <w:r>
        <w:t xml:space="preserve">  = the (randomised) presence-check interval (minutes).</w:t>
      </w:r>
    </w:p>
    <w:p>
      <w:pPr>
        <w:jc w:val="both"/>
      </w:pPr>
      <w:r>
        <w:t>Finally, a student’s overall attendance rate over a course is computed for reporting and analytics as:</w:t>
      </w:r>
    </w:p>
    <w:p>
      <w:pPr>
        <w:tabs>
          <w:tab w:pos="3744" w:val="center"/>
          <w:tab w:pos="7920" w:val="right"/>
        </w:tabs>
        <w:spacing w:before="120" w:after="120"/>
      </w:pPr>
      <w:r>
        <w:tab/>
      </w:r>
      <w:r>
        <w:rPr>
          <w:i w:val="0"/>
          <w:sz w:val="24"/>
        </w:rPr>
        <w:t>Attendance Rate = (Aₐ / Aₜ) × 100  %</w:t>
      </w:r>
      <w:r>
        <w:tab/>
      </w:r>
      <w:r>
        <w:rPr>
          <w:sz w:val="24"/>
        </w:rPr>
        <w:t>(3.22)</w:t>
      </w:r>
    </w:p>
    <w:p>
      <w:pPr>
        <w:spacing w:after="40"/>
      </w:pPr>
      <w:r>
        <w:rPr>
          <w:i/>
        </w:rPr>
        <w:t>where:</w:t>
      </w:r>
    </w:p>
    <w:p>
      <w:pPr>
        <w:spacing w:after="0"/>
        <w:ind w:left="720"/>
      </w:pPr>
      <w:r>
        <w:rPr>
          <w:i/>
        </w:rPr>
        <w:t>Aₐ</w:t>
      </w:r>
      <w:r>
        <w:t xml:space="preserve">  = the number of sessions attended (present or late);</w:t>
      </w:r>
    </w:p>
    <w:p>
      <w:pPr>
        <w:spacing w:after="0"/>
        <w:ind w:left="720"/>
      </w:pPr>
      <w:r>
        <w:rPr>
          <w:i/>
        </w:rPr>
        <w:t>Aₜ</w:t>
      </w:r>
      <w:r>
        <w:t xml:space="preserve">  = the total number of sessions held for the course.</w:t>
      </w:r>
    </w:p>
    <w:p>
      <w:pPr>
        <w:spacing w:before="160" w:after="40"/>
      </w:pPr>
      <w:r>
        <w:rPr>
          <w:b/>
          <w:i/>
          <w:sz w:val="24"/>
        </w:rPr>
        <w:t>3.5.6  Composite Check-in Decision</w:t>
      </w:r>
    </w:p>
    <w:p>
      <w:pPr>
        <w:jc w:val="both"/>
      </w:pPr>
      <w:r>
        <w:t>The final attendance decision is the logical conjunction (AND) of all verification gates. Attendance is recorded only when every condition is satisfied simultaneously; the failure of any single gate produces a specific rejection reason:</w:t>
      </w:r>
    </w:p>
    <w:p>
      <w:pPr>
        <w:tabs>
          <w:tab w:pos="3744" w:val="center"/>
          <w:tab w:pos="7920" w:val="right"/>
        </w:tabs>
        <w:spacing w:before="120" w:after="120"/>
      </w:pPr>
      <w:r>
        <w:tab/>
      </w:r>
      <w:r>
        <w:rPr>
          <w:i/>
          <w:sz w:val="24"/>
        </w:rPr>
        <w:t>Granted</w:t>
      </w:r>
      <w:r>
        <w:rPr>
          <w:i w:val="0"/>
          <w:sz w:val="24"/>
        </w:rPr>
        <w:t xml:space="preserve"> = </w:t>
      </w:r>
      <w:r>
        <w:rPr>
          <w:i w:val="0"/>
          <w:sz w:val="24"/>
        </w:rPr>
        <w:t>B ∧ G ∧ F ∧ W</w:t>
      </w:r>
      <w:r>
        <w:tab/>
      </w:r>
      <w:r>
        <w:rPr>
          <w:sz w:val="24"/>
        </w:rPr>
        <w:t>(3.23)</w:t>
      </w:r>
    </w:p>
    <w:p>
      <w:pPr>
        <w:spacing w:after="40"/>
      </w:pPr>
      <w:r>
        <w:rPr>
          <w:i/>
        </w:rPr>
        <w:t>where:</w:t>
      </w:r>
    </w:p>
    <w:p>
      <w:pPr>
        <w:spacing w:after="0"/>
        <w:ind w:left="720"/>
      </w:pPr>
      <w:r>
        <w:rPr>
          <w:i/>
        </w:rPr>
        <w:t>B</w:t>
      </w:r>
      <w:r>
        <w:t xml:space="preserve">  = device is bound and valid (Eq. 3.16);</w:t>
      </w:r>
    </w:p>
    <w:p>
      <w:pPr>
        <w:spacing w:after="0"/>
        <w:ind w:left="720"/>
      </w:pPr>
      <w:r>
        <w:rPr>
          <w:i/>
        </w:rPr>
        <w:t>G</w:t>
      </w:r>
      <w:r>
        <w:t xml:space="preserve">  = position lies inside the venue geofence (Eq. 3.6 / 3.7);</w:t>
      </w:r>
    </w:p>
    <w:p>
      <w:pPr>
        <w:spacing w:after="0"/>
        <w:ind w:left="720"/>
      </w:pPr>
      <w:r>
        <w:rPr>
          <w:i/>
        </w:rPr>
        <w:t>F</w:t>
      </w:r>
      <w:r>
        <w:t xml:space="preserve">  = face is verified against the enrolled reference (Eq. 3.13 / 3.15);</w:t>
      </w:r>
    </w:p>
    <w:p>
      <w:pPr>
        <w:spacing w:after="0"/>
        <w:ind w:left="720"/>
      </w:pPr>
      <w:r>
        <w:rPr>
          <w:i/>
        </w:rPr>
        <w:t>W</w:t>
      </w:r>
      <w:r>
        <w:t xml:space="preserve">  = the attempt falls within the active time window (Eq. 3.17).</w:t>
      </w:r>
    </w:p>
    <w:p>
      <w:pPr>
        <w:jc w:val="both"/>
      </w:pPr>
      <w:r>
        <w:t>Only when G = B = F = W = true is an attendance record created and the student’s status classified by Eq. 3.19. This layered, multi-factor design simultaneously addresses location fraud, identity fraud, device-based proxy attendance, and out-of-window sign-ins.</w:t>
      </w:r>
    </w:p>
    <w:p>
      <w:pPr>
        <w:spacing w:before="240" w:after="80"/>
      </w:pPr>
      <w:r>
        <w:rPr>
          <w:b/>
          <w:sz w:val="24"/>
        </w:rPr>
        <w:t>3.6  Database Design</w:t>
      </w:r>
    </w:p>
    <w:p>
      <w:pPr>
        <w:jc w:val="both"/>
      </w:pPr>
      <w:r>
        <w:t>A normalised relational schema was designed to eliminate redundancy and preserve referential integrity. The principal entities and their roles are summarised in Table 3.1.</w:t>
      </w:r>
    </w:p>
    <w:p>
      <w:pPr>
        <w:spacing w:before="160"/>
      </w:pPr>
      <w:r>
        <w:rPr>
          <w:b/>
          <w:sz w:val="22"/>
        </w:rPr>
        <w:t>Table 3.1: Principal database entities and relationships</w:t>
      </w:r>
    </w:p>
    <w:tbl>
      <w:tblPr>
        <w:tblW w:type="auto" w:w="0"/>
        <w:tblLook w:firstColumn="1" w:firstRow="1" w:lastColumn="0" w:lastRow="0" w:noHBand="0" w:noVBand="1" w:val="04A0"/>
      </w:tblPr>
      <w:tblGrid>
        <w:gridCol w:w="2880"/>
        <w:gridCol w:w="2880"/>
        <w:gridCol w:w="2880"/>
      </w:tblGrid>
      <w:tr>
        <w:tc>
          <w:tcPr>
            <w:tcW w:type="dxa" w:w="2880"/>
            <w:tcBorders>
              <w:top w:val="single" w:sz="4" w:color="000000"/>
              <w:left w:val="single" w:sz="4" w:color="000000"/>
              <w:bottom w:val="single" w:sz="4" w:color="000000"/>
              <w:right w:val="single" w:sz="4" w:color="000000"/>
            </w:tcBorders>
            <w:shd w:val="clear" w:fill="D9D9D9"/>
          </w:tcPr>
          <w:p>
            <w:r>
              <w:rPr>
                <w:b/>
                <w:sz w:val="20"/>
              </w:rPr>
              <w:t>Entity</w:t>
            </w:r>
          </w:p>
        </w:tc>
        <w:tc>
          <w:tcPr>
            <w:tcW w:type="dxa" w:w="2880"/>
            <w:tcBorders>
              <w:top w:val="single" w:sz="4" w:color="000000"/>
              <w:left w:val="single" w:sz="4" w:color="000000"/>
              <w:bottom w:val="single" w:sz="4" w:color="000000"/>
              <w:right w:val="single" w:sz="4" w:color="000000"/>
            </w:tcBorders>
            <w:shd w:val="clear" w:fill="D9D9D9"/>
          </w:tcPr>
          <w:p>
            <w:r>
              <w:rPr>
                <w:b/>
                <w:sz w:val="20"/>
              </w:rPr>
              <w:t>Description</w:t>
            </w:r>
          </w:p>
        </w:tc>
        <w:tc>
          <w:tcPr>
            <w:tcW w:type="dxa" w:w="2880"/>
            <w:tcBorders>
              <w:top w:val="single" w:sz="4" w:color="000000"/>
              <w:left w:val="single" w:sz="4" w:color="000000"/>
              <w:bottom w:val="single" w:sz="4" w:color="000000"/>
              <w:right w:val="single" w:sz="4" w:color="000000"/>
            </w:tcBorders>
            <w:shd w:val="clear" w:fill="D9D9D9"/>
          </w:tcPr>
          <w:p>
            <w:r>
              <w:rPr>
                <w:b/>
                <w:sz w:val="20"/>
              </w:rPr>
              <w:t>Key Relationships</w:t>
            </w:r>
          </w:p>
        </w:tc>
      </w:tr>
      <w:tr>
        <w:tc>
          <w:tcPr>
            <w:tcW w:type="dxa" w:w="2880"/>
            <w:tcBorders>
              <w:top w:val="single" w:sz="4" w:color="000000"/>
              <w:left w:val="single" w:sz="4" w:color="000000"/>
              <w:bottom w:val="single" w:sz="4" w:color="000000"/>
              <w:right w:val="single" w:sz="4" w:color="000000"/>
            </w:tcBorders>
          </w:tcPr>
          <w:p>
            <w:r>
              <w:rPr>
                <w:sz w:val="20"/>
              </w:rPr>
              <w:t>users</w:t>
            </w:r>
          </w:p>
        </w:tc>
        <w:tc>
          <w:tcPr>
            <w:tcW w:type="dxa" w:w="2880"/>
            <w:tcBorders>
              <w:top w:val="single" w:sz="4" w:color="000000"/>
              <w:left w:val="single" w:sz="4" w:color="000000"/>
              <w:bottom w:val="single" w:sz="4" w:color="000000"/>
              <w:right w:val="single" w:sz="4" w:color="000000"/>
            </w:tcBorders>
          </w:tcPr>
          <w:p>
            <w:r>
              <w:rPr>
                <w:sz w:val="20"/>
              </w:rPr>
              <w:t>Students, lecturers, HOCs, and administrators</w:t>
            </w:r>
          </w:p>
        </w:tc>
        <w:tc>
          <w:tcPr>
            <w:tcW w:type="dxa" w:w="2880"/>
            <w:tcBorders>
              <w:top w:val="single" w:sz="4" w:color="000000"/>
              <w:left w:val="single" w:sz="4" w:color="000000"/>
              <w:bottom w:val="single" w:sz="4" w:color="000000"/>
              <w:right w:val="single" w:sz="4" w:color="000000"/>
            </w:tcBorders>
          </w:tcPr>
          <w:p>
            <w:r>
              <w:rPr>
                <w:sz w:val="20"/>
              </w:rPr>
              <w:t>has-many devices, enrollments, records</w:t>
            </w:r>
          </w:p>
        </w:tc>
      </w:tr>
      <w:tr>
        <w:tc>
          <w:tcPr>
            <w:tcW w:type="dxa" w:w="2880"/>
            <w:tcBorders>
              <w:top w:val="single" w:sz="4" w:color="000000"/>
              <w:left w:val="single" w:sz="4" w:color="000000"/>
              <w:bottom w:val="single" w:sz="4" w:color="000000"/>
              <w:right w:val="single" w:sz="4" w:color="000000"/>
            </w:tcBorders>
          </w:tcPr>
          <w:p>
            <w:r>
              <w:rPr>
                <w:sz w:val="20"/>
              </w:rPr>
              <w:t>institutions</w:t>
            </w:r>
          </w:p>
        </w:tc>
        <w:tc>
          <w:tcPr>
            <w:tcW w:type="dxa" w:w="2880"/>
            <w:tcBorders>
              <w:top w:val="single" w:sz="4" w:color="000000"/>
              <w:left w:val="single" w:sz="4" w:color="000000"/>
              <w:bottom w:val="single" w:sz="4" w:color="000000"/>
              <w:right w:val="single" w:sz="4" w:color="000000"/>
            </w:tcBorders>
          </w:tcPr>
          <w:p>
            <w:r>
              <w:rPr>
                <w:sz w:val="20"/>
              </w:rPr>
              <w:t>Academic institutions hosting courses</w:t>
            </w:r>
          </w:p>
        </w:tc>
        <w:tc>
          <w:tcPr>
            <w:tcW w:type="dxa" w:w="2880"/>
            <w:tcBorders>
              <w:top w:val="single" w:sz="4" w:color="000000"/>
              <w:left w:val="single" w:sz="4" w:color="000000"/>
              <w:bottom w:val="single" w:sz="4" w:color="000000"/>
              <w:right w:val="single" w:sz="4" w:color="000000"/>
            </w:tcBorders>
          </w:tcPr>
          <w:p>
            <w:r>
              <w:rPr>
                <w:sz w:val="20"/>
              </w:rPr>
              <w:t>has-many users, courses</w:t>
            </w:r>
          </w:p>
        </w:tc>
      </w:tr>
      <w:tr>
        <w:tc>
          <w:tcPr>
            <w:tcW w:type="dxa" w:w="2880"/>
            <w:tcBorders>
              <w:top w:val="single" w:sz="4" w:color="000000"/>
              <w:left w:val="single" w:sz="4" w:color="000000"/>
              <w:bottom w:val="single" w:sz="4" w:color="000000"/>
              <w:right w:val="single" w:sz="4" w:color="000000"/>
            </w:tcBorders>
          </w:tcPr>
          <w:p>
            <w:r>
              <w:rPr>
                <w:sz w:val="20"/>
              </w:rPr>
              <w:t>courses</w:t>
            </w:r>
          </w:p>
        </w:tc>
        <w:tc>
          <w:tcPr>
            <w:tcW w:type="dxa" w:w="2880"/>
            <w:tcBorders>
              <w:top w:val="single" w:sz="4" w:color="000000"/>
              <w:left w:val="single" w:sz="4" w:color="000000"/>
              <w:bottom w:val="single" w:sz="4" w:color="000000"/>
              <w:right w:val="single" w:sz="4" w:color="000000"/>
            </w:tcBorders>
          </w:tcPr>
          <w:p>
            <w:r>
              <w:rPr>
                <w:sz w:val="20"/>
              </w:rPr>
              <w:t>Lecture classes with venue and schedule</w:t>
            </w:r>
          </w:p>
        </w:tc>
        <w:tc>
          <w:tcPr>
            <w:tcW w:type="dxa" w:w="2880"/>
            <w:tcBorders>
              <w:top w:val="single" w:sz="4" w:color="000000"/>
              <w:left w:val="single" w:sz="4" w:color="000000"/>
              <w:bottom w:val="single" w:sz="4" w:color="000000"/>
              <w:right w:val="single" w:sz="4" w:color="000000"/>
            </w:tcBorders>
          </w:tcPr>
          <w:p>
            <w:r>
              <w:rPr>
                <w:sz w:val="20"/>
              </w:rPr>
              <w:t>belongs-to lecturer; has-one geofence</w:t>
            </w:r>
          </w:p>
        </w:tc>
      </w:tr>
      <w:tr>
        <w:tc>
          <w:tcPr>
            <w:tcW w:type="dxa" w:w="2880"/>
            <w:tcBorders>
              <w:top w:val="single" w:sz="4" w:color="000000"/>
              <w:left w:val="single" w:sz="4" w:color="000000"/>
              <w:bottom w:val="single" w:sz="4" w:color="000000"/>
              <w:right w:val="single" w:sz="4" w:color="000000"/>
            </w:tcBorders>
          </w:tcPr>
          <w:p>
            <w:r>
              <w:rPr>
                <w:sz w:val="20"/>
              </w:rPr>
              <w:t>course_geofences</w:t>
            </w:r>
          </w:p>
        </w:tc>
        <w:tc>
          <w:tcPr>
            <w:tcW w:type="dxa" w:w="2880"/>
            <w:tcBorders>
              <w:top w:val="single" w:sz="4" w:color="000000"/>
              <w:left w:val="single" w:sz="4" w:color="000000"/>
              <w:bottom w:val="single" w:sz="4" w:color="000000"/>
              <w:right w:val="single" w:sz="4" w:color="000000"/>
            </w:tcBorders>
          </w:tcPr>
          <w:p>
            <w:r>
              <w:rPr>
                <w:sz w:val="20"/>
              </w:rPr>
              <w:t>Circular/polygon venue boundary</w:t>
            </w:r>
          </w:p>
        </w:tc>
        <w:tc>
          <w:tcPr>
            <w:tcW w:type="dxa" w:w="2880"/>
            <w:tcBorders>
              <w:top w:val="single" w:sz="4" w:color="000000"/>
              <w:left w:val="single" w:sz="4" w:color="000000"/>
              <w:bottom w:val="single" w:sz="4" w:color="000000"/>
              <w:right w:val="single" w:sz="4" w:color="000000"/>
            </w:tcBorders>
          </w:tcPr>
          <w:p>
            <w:r>
              <w:rPr>
                <w:sz w:val="20"/>
              </w:rPr>
              <w:t>belongs-to course</w:t>
            </w:r>
          </w:p>
        </w:tc>
      </w:tr>
      <w:tr>
        <w:tc>
          <w:tcPr>
            <w:tcW w:type="dxa" w:w="2880"/>
            <w:tcBorders>
              <w:top w:val="single" w:sz="4" w:color="000000"/>
              <w:left w:val="single" w:sz="4" w:color="000000"/>
              <w:bottom w:val="single" w:sz="4" w:color="000000"/>
              <w:right w:val="single" w:sz="4" w:color="000000"/>
            </w:tcBorders>
          </w:tcPr>
          <w:p>
            <w:r>
              <w:rPr>
                <w:sz w:val="20"/>
              </w:rPr>
              <w:t>attendance_sessions</w:t>
            </w:r>
          </w:p>
        </w:tc>
        <w:tc>
          <w:tcPr>
            <w:tcW w:type="dxa" w:w="2880"/>
            <w:tcBorders>
              <w:top w:val="single" w:sz="4" w:color="000000"/>
              <w:left w:val="single" w:sz="4" w:color="000000"/>
              <w:bottom w:val="single" w:sz="4" w:color="000000"/>
              <w:right w:val="single" w:sz="4" w:color="000000"/>
            </w:tcBorders>
          </w:tcPr>
          <w:p>
            <w:r>
              <w:rPr>
                <w:sz w:val="20"/>
              </w:rPr>
              <w:t>Scheduled/active lecture sittings</w:t>
            </w:r>
          </w:p>
        </w:tc>
        <w:tc>
          <w:tcPr>
            <w:tcW w:type="dxa" w:w="2880"/>
            <w:tcBorders>
              <w:top w:val="single" w:sz="4" w:color="000000"/>
              <w:left w:val="single" w:sz="4" w:color="000000"/>
              <w:bottom w:val="single" w:sz="4" w:color="000000"/>
              <w:right w:val="single" w:sz="4" w:color="000000"/>
            </w:tcBorders>
          </w:tcPr>
          <w:p>
            <w:r>
              <w:rPr>
                <w:sz w:val="20"/>
              </w:rPr>
              <w:t>belongs-to course; has-many records</w:t>
            </w:r>
          </w:p>
        </w:tc>
      </w:tr>
      <w:tr>
        <w:tc>
          <w:tcPr>
            <w:tcW w:type="dxa" w:w="2880"/>
            <w:tcBorders>
              <w:top w:val="single" w:sz="4" w:color="000000"/>
              <w:left w:val="single" w:sz="4" w:color="000000"/>
              <w:bottom w:val="single" w:sz="4" w:color="000000"/>
              <w:right w:val="single" w:sz="4" w:color="000000"/>
            </w:tcBorders>
          </w:tcPr>
          <w:p>
            <w:r>
              <w:rPr>
                <w:sz w:val="20"/>
              </w:rPr>
              <w:t>attendance_records</w:t>
            </w:r>
          </w:p>
        </w:tc>
        <w:tc>
          <w:tcPr>
            <w:tcW w:type="dxa" w:w="2880"/>
            <w:tcBorders>
              <w:top w:val="single" w:sz="4" w:color="000000"/>
              <w:left w:val="single" w:sz="4" w:color="000000"/>
              <w:bottom w:val="single" w:sz="4" w:color="000000"/>
              <w:right w:val="single" w:sz="4" w:color="000000"/>
            </w:tcBorders>
          </w:tcPr>
          <w:p>
            <w:r>
              <w:rPr>
                <w:sz w:val="20"/>
              </w:rPr>
              <w:t>Per-student check-in/out and status</w:t>
            </w:r>
          </w:p>
        </w:tc>
        <w:tc>
          <w:tcPr>
            <w:tcW w:type="dxa" w:w="2880"/>
            <w:tcBorders>
              <w:top w:val="single" w:sz="4" w:color="000000"/>
              <w:left w:val="single" w:sz="4" w:color="000000"/>
              <w:bottom w:val="single" w:sz="4" w:color="000000"/>
              <w:right w:val="single" w:sz="4" w:color="000000"/>
            </w:tcBorders>
          </w:tcPr>
          <w:p>
            <w:r>
              <w:rPr>
                <w:sz w:val="20"/>
              </w:rPr>
              <w:t>belongs-to session, user, device</w:t>
            </w:r>
          </w:p>
        </w:tc>
      </w:tr>
      <w:tr>
        <w:tc>
          <w:tcPr>
            <w:tcW w:type="dxa" w:w="2880"/>
            <w:tcBorders>
              <w:top w:val="single" w:sz="4" w:color="000000"/>
              <w:left w:val="single" w:sz="4" w:color="000000"/>
              <w:bottom w:val="single" w:sz="4" w:color="000000"/>
              <w:right w:val="single" w:sz="4" w:color="000000"/>
            </w:tcBorders>
          </w:tcPr>
          <w:p>
            <w:r>
              <w:rPr>
                <w:sz w:val="20"/>
              </w:rPr>
              <w:t>face_profiles</w:t>
            </w:r>
          </w:p>
        </w:tc>
        <w:tc>
          <w:tcPr>
            <w:tcW w:type="dxa" w:w="2880"/>
            <w:tcBorders>
              <w:top w:val="single" w:sz="4" w:color="000000"/>
              <w:left w:val="single" w:sz="4" w:color="000000"/>
              <w:bottom w:val="single" w:sz="4" w:color="000000"/>
              <w:right w:val="single" w:sz="4" w:color="000000"/>
            </w:tcBorders>
          </w:tcPr>
          <w:p>
            <w:r>
              <w:rPr>
                <w:sz w:val="20"/>
              </w:rPr>
              <w:t>Enrolled reference face descriptor</w:t>
            </w:r>
          </w:p>
        </w:tc>
        <w:tc>
          <w:tcPr>
            <w:tcW w:type="dxa" w:w="2880"/>
            <w:tcBorders>
              <w:top w:val="single" w:sz="4" w:color="000000"/>
              <w:left w:val="single" w:sz="4" w:color="000000"/>
              <w:bottom w:val="single" w:sz="4" w:color="000000"/>
              <w:right w:val="single" w:sz="4" w:color="000000"/>
            </w:tcBorders>
          </w:tcPr>
          <w:p>
            <w:r>
              <w:rPr>
                <w:sz w:val="20"/>
              </w:rPr>
              <w:t>belongs-to user</w:t>
            </w:r>
          </w:p>
        </w:tc>
      </w:tr>
      <w:tr>
        <w:tc>
          <w:tcPr>
            <w:tcW w:type="dxa" w:w="2880"/>
            <w:tcBorders>
              <w:top w:val="single" w:sz="4" w:color="000000"/>
              <w:left w:val="single" w:sz="4" w:color="000000"/>
              <w:bottom w:val="single" w:sz="4" w:color="000000"/>
              <w:right w:val="single" w:sz="4" w:color="000000"/>
            </w:tcBorders>
          </w:tcPr>
          <w:p>
            <w:r>
              <w:rPr>
                <w:sz w:val="20"/>
              </w:rPr>
              <w:t>devices</w:t>
            </w:r>
          </w:p>
        </w:tc>
        <w:tc>
          <w:tcPr>
            <w:tcW w:type="dxa" w:w="2880"/>
            <w:tcBorders>
              <w:top w:val="single" w:sz="4" w:color="000000"/>
              <w:left w:val="single" w:sz="4" w:color="000000"/>
              <w:bottom w:val="single" w:sz="4" w:color="000000"/>
              <w:right w:val="single" w:sz="4" w:color="000000"/>
            </w:tcBorders>
          </w:tcPr>
          <w:p>
            <w:r>
              <w:rPr>
                <w:sz w:val="20"/>
              </w:rPr>
              <w:t>Bound device fingerprints</w:t>
            </w:r>
          </w:p>
        </w:tc>
        <w:tc>
          <w:tcPr>
            <w:tcW w:type="dxa" w:w="2880"/>
            <w:tcBorders>
              <w:top w:val="single" w:sz="4" w:color="000000"/>
              <w:left w:val="single" w:sz="4" w:color="000000"/>
              <w:bottom w:val="single" w:sz="4" w:color="000000"/>
              <w:right w:val="single" w:sz="4" w:color="000000"/>
            </w:tcBorders>
          </w:tcPr>
          <w:p>
            <w:r>
              <w:rPr>
                <w:sz w:val="20"/>
              </w:rPr>
              <w:t>belongs-to user</w:t>
            </w:r>
          </w:p>
        </w:tc>
      </w:tr>
      <w:tr>
        <w:tc>
          <w:tcPr>
            <w:tcW w:type="dxa" w:w="2880"/>
            <w:tcBorders>
              <w:top w:val="single" w:sz="4" w:color="000000"/>
              <w:left w:val="single" w:sz="4" w:color="000000"/>
              <w:bottom w:val="single" w:sz="4" w:color="000000"/>
              <w:right w:val="single" w:sz="4" w:color="000000"/>
            </w:tcBorders>
          </w:tcPr>
          <w:p>
            <w:r>
              <w:rPr>
                <w:sz w:val="20"/>
              </w:rPr>
              <w:t>presence_checks</w:t>
            </w:r>
          </w:p>
        </w:tc>
        <w:tc>
          <w:tcPr>
            <w:tcW w:type="dxa" w:w="2880"/>
            <w:tcBorders>
              <w:top w:val="single" w:sz="4" w:color="000000"/>
              <w:left w:val="single" w:sz="4" w:color="000000"/>
              <w:bottom w:val="single" w:sz="4" w:color="000000"/>
              <w:right w:val="single" w:sz="4" w:color="000000"/>
            </w:tcBorders>
          </w:tcPr>
          <w:p>
            <w:r>
              <w:rPr>
                <w:sz w:val="20"/>
              </w:rPr>
              <w:t>Randomised in-lecture verifications</w:t>
            </w:r>
          </w:p>
        </w:tc>
        <w:tc>
          <w:tcPr>
            <w:tcW w:type="dxa" w:w="2880"/>
            <w:tcBorders>
              <w:top w:val="single" w:sz="4" w:color="000000"/>
              <w:left w:val="single" w:sz="4" w:color="000000"/>
              <w:bottom w:val="single" w:sz="4" w:color="000000"/>
              <w:right w:val="single" w:sz="4" w:color="000000"/>
            </w:tcBorders>
          </w:tcPr>
          <w:p>
            <w:r>
              <w:rPr>
                <w:sz w:val="20"/>
              </w:rPr>
              <w:t>belongs-to session</w:t>
            </w:r>
          </w:p>
        </w:tc>
      </w:tr>
    </w:tbl>
    <w:p>
      <w:pPr>
        <w:spacing w:after="120"/>
      </w:pPr>
    </w:p>
    <w:p>
      <w:pPr>
        <w:spacing w:before="240" w:after="80"/>
      </w:pPr>
      <w:r>
        <w:rPr>
          <w:b/>
          <w:sz w:val="24"/>
        </w:rPr>
        <w:t>3.7  System Security</w:t>
      </w:r>
    </w:p>
    <w:p>
      <w:pPr>
        <w:pStyle w:val="ListBullet"/>
      </w:pPr>
      <w:r>
        <w:t>Transport security: all client–server traffic is encrypted with SSL/TLS over HTTPS.</w:t>
      </w:r>
    </w:p>
    <w:p>
      <w:pPr>
        <w:pStyle w:val="ListBullet"/>
      </w:pPr>
      <w:r>
        <w:t>Authentication: stateless bearer tokens (Laravel Sanctum) authenticate every protected request.</w:t>
      </w:r>
    </w:p>
    <w:p>
      <w:pPr>
        <w:pStyle w:val="ListBullet"/>
      </w:pPr>
      <w:r>
        <w:t>Password protection: user passwords are stored as one-way bcrypt hashes and are never recoverable in plaintext.</w:t>
      </w:r>
    </w:p>
    <w:p>
      <w:pPr>
        <w:pStyle w:val="ListBullet"/>
      </w:pPr>
      <w:r>
        <w:t>Device binding: a unique device fingerprint is required on every sensitive request (Eq. 3.16).</w:t>
      </w:r>
    </w:p>
    <w:p>
      <w:pPr>
        <w:pStyle w:val="ListBullet"/>
      </w:pPr>
      <w:r>
        <w:t>Multi-factor attendance: location, biometric, device, and time gates must all pass (Eq. 3.23).</w:t>
      </w:r>
    </w:p>
    <w:p>
      <w:pPr>
        <w:spacing w:before="240" w:after="80"/>
      </w:pPr>
      <w:r>
        <w:rPr>
          <w:b/>
          <w:sz w:val="24"/>
        </w:rPr>
        <w:t>3.8  Method of System Evaluation</w:t>
      </w:r>
    </w:p>
    <w:p>
      <w:pPr>
        <w:jc w:val="both"/>
      </w:pPr>
      <w:r>
        <w:t>The implemented system was evaluated by functional and performance testing along the same path a genuine attendance follows: account registration and device binding, geofence (location) verification, face (identity) verification, the composite check-in decision under both legitimate and fraudulent conditions, the timed attendance window with randomised presence checks, and notification delivery with dashboard reporting. Positioning accuracy was assessed by comparing measured distances against ground-truth distances at known offsets from the venue centre; face verification was assessed using genuine, impostor, and spoof attempts; and platform stability was assessed under continuous operation and concurrent multi-user check-in. The results of these evaluations are presented and discussed in Chapter Four.</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