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5" name="image1.png"/>
            <a:graphic>
              <a:graphicData uri="http://schemas.openxmlformats.org/drawingml/2006/picture">
                <pic:pic>
                  <pic:nvPicPr>
                    <pic:cNvPr descr="Escola Britânica de Artes Criativas" id="0" name="image1.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Estácio Di Fabio Junior</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Caxias do Sul</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tem como objetivo realizar uma análise qualitativa sobre um determinado produto escolhido pelo aluno. Esta análise irá determinar a qualidade de um dispositivo utilizado no dia-a-dia a fim de descobrir se o mesmo irá precisar de substituição no futuro ou não.</w:t>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E">
          <w:pPr>
            <w:pStyle w:val="Heading1"/>
            <w:numPr>
              <w:ilvl w:val="0"/>
              <w:numId w:val="1"/>
            </w:numPr>
            <w:ind w:left="720" w:hanging="360"/>
            <w:rPr/>
          </w:pPr>
          <w:bookmarkStart w:colFirst="0" w:colLast="0" w:name="_heading=h.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Avaliar a qualidade e durabilidade de produtos é uma prática essencial para consumidores que buscam investir em itens eletrônicos, como fones de ouvido. Neste contexto, a análise detalhada do produto em questão revela informações importantes sobre sua performance e longevidade. Trata-se de um fone de ouvido produzido por uma marca reconhecida por desenvolver produtos de nível intermediário, o que naturalmente suscita expectativas positivas em relação à sua qualidade. Este relatório se propõe a apresentar as conclusões derivadas da análise desse fone de ouvido, considerando principalmente sua performance e durabilidade. Portanto, este relatório visa oferecer uma visão abrangente das características positivas e áreas de preocupação em relação a esse produto, fornecendo uma avaliação precisa para consumidores em busca de informações pertinentes antes de tomar decisões de compra.</w:t>
      </w: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pStyle w:val="Heading1"/>
        <w:numPr>
          <w:ilvl w:val="0"/>
          <w:numId w:val="1"/>
        </w:numPr>
        <w:ind w:left="720" w:hanging="360"/>
        <w:rPr/>
      </w:pPr>
      <w:bookmarkStart w:colFirst="0" w:colLast="0" w:name="_heading=h.3znysh7" w:id="3"/>
      <w:bookmarkEnd w:id="3"/>
      <w:r w:rsidDel="00000000" w:rsidR="00000000" w:rsidRPr="00000000">
        <w:rPr>
          <w:rtl w:val="0"/>
        </w:rPr>
        <w:t xml:space="preserve">O PROJETO</w:t>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000000" w:rsidDel="00000000" w:rsidP="00000000" w:rsidRDefault="00000000" w:rsidRPr="00000000" w14:paraId="0000004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pStyle w:val="Heading2"/>
        <w:numPr>
          <w:ilvl w:val="1"/>
          <w:numId w:val="1"/>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2">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Fone de ouvido headset </w:t>
            </w:r>
            <w:r w:rsidDel="00000000" w:rsidR="00000000" w:rsidRPr="00000000">
              <w:rPr>
                <w:rtl w:val="0"/>
              </w:rPr>
            </w:r>
          </w:p>
        </w:tc>
      </w:tr>
      <w:tr>
        <w:trPr>
          <w:cantSplit w:val="0"/>
          <w:tblHeader w:val="0"/>
        </w:trPr>
        <w:tc>
          <w:tcPr/>
          <w:p w:rsidR="00000000" w:rsidDel="00000000" w:rsidP="00000000" w:rsidRDefault="00000000" w:rsidRPr="00000000" w14:paraId="0000005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4">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Redragon</w:t>
            </w:r>
            <w:r w:rsidDel="00000000" w:rsidR="00000000" w:rsidRPr="00000000">
              <w:rPr>
                <w:rtl w:val="0"/>
              </w:rPr>
            </w:r>
          </w:p>
        </w:tc>
      </w:tr>
      <w:tr>
        <w:trPr>
          <w:cantSplit w:val="0"/>
          <w:tblHeader w:val="0"/>
        </w:trPr>
        <w:tc>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6">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Está em uso há cerca de 2 anos e meio.</w:t>
            </w:r>
            <w:r w:rsidDel="00000000" w:rsidR="00000000" w:rsidRPr="00000000">
              <w:rPr>
                <w:rtl w:val="0"/>
              </w:rPr>
            </w:r>
          </w:p>
        </w:tc>
      </w:tr>
      <w:tr>
        <w:trPr>
          <w:cantSplit w:val="0"/>
          <w:tblHeader w:val="0"/>
        </w:trPr>
        <w:tc>
          <w:tcPr/>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Um dispositivo de fone de ouvido no estilo headset over ear com microfone removível.</w:t>
            </w:r>
            <w:r w:rsidDel="00000000" w:rsidR="00000000" w:rsidRPr="00000000">
              <w:rPr>
                <w:rtl w:val="0"/>
              </w:rPr>
            </w:r>
          </w:p>
        </w:tc>
      </w:tr>
    </w:tbl>
    <w:p w:rsidR="00000000" w:rsidDel="00000000" w:rsidP="00000000" w:rsidRDefault="00000000" w:rsidRPr="00000000" w14:paraId="0000005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Style w:val="Heading2"/>
        <w:numPr>
          <w:ilvl w:val="1"/>
          <w:numId w:val="1"/>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fone é uma presença constante no meu cotidiano, mantendo-se permanentemente conectado ao meu computador. Utilizo-o diariamente para interações com colegas de trabalho e para desfrutar de sessões de jogos no computador.</w:t>
            </w:r>
            <w:r w:rsidDel="00000000" w:rsidR="00000000" w:rsidRPr="00000000">
              <w:rPr>
                <w:rtl w:val="0"/>
              </w:rPr>
            </w:r>
          </w:p>
        </w:tc>
        <w:tc>
          <w:tcPr/>
          <w:p w:rsidR="00000000" w:rsidDel="00000000" w:rsidP="00000000" w:rsidRDefault="00000000" w:rsidRPr="00000000" w14:paraId="00000062">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 estrutura do produto é predominantemente construída com plástico rígido em um acabamento emborrachado. No entanto, nota-se que um material sintético semelhante ao couro envolve a espuma utilizada para o apoio da cabeça e circunda os alto-falantes. Lamentavelmente, esse revestimento em couro sintético mostra sinais de desgaste considerável, com partes se deteriorando, enquanto o restante do produto permanece em excelente estado.</w:t>
            </w:r>
            <w:r w:rsidDel="00000000" w:rsidR="00000000" w:rsidRPr="00000000">
              <w:rPr>
                <w:rtl w:val="0"/>
              </w:rPr>
            </w:r>
          </w:p>
        </w:tc>
        <w:tc>
          <w:tcPr/>
          <w:p w:rsidR="00000000" w:rsidDel="00000000" w:rsidP="00000000" w:rsidRDefault="00000000" w:rsidRPr="00000000" w14:paraId="00000065">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1: Foto do produto</w:t>
            </w: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O desempenho do fone é notável, proporcionando uma reprodução de áudio de alta qualidade com graves e agudos bem definidos. Além disso, o microfone apresenta uma excelente capacidade de isolamento acústico, captando a voz de forma nítida e minimizando a interferência de ruídos externos.</w:t>
            </w:r>
            <w:r w:rsidDel="00000000" w:rsidR="00000000" w:rsidRPr="00000000">
              <w:rPr>
                <w:rtl w:val="0"/>
              </w:rPr>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Me agradou bastante o acabamento emborrachado do produto, pois confere uma sensação de sofisticação.</w:t>
            </w:r>
            <w:r w:rsidDel="00000000" w:rsidR="00000000" w:rsidRPr="00000000">
              <w:rPr>
                <w:rtl w:val="0"/>
              </w:rPr>
            </w:r>
          </w:p>
        </w:tc>
        <w:tc>
          <w:tcPr/>
          <w:p w:rsidR="00000000" w:rsidDel="00000000" w:rsidP="00000000" w:rsidRDefault="00000000" w:rsidRPr="00000000" w14:paraId="0000006B">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Imagem </w:t>
            </w:r>
            <w:r w:rsidDel="00000000" w:rsidR="00000000" w:rsidRPr="00000000">
              <w:rPr>
                <w:rFonts w:ascii="Arial" w:cs="Arial" w:eastAsia="Arial" w:hAnsi="Arial"/>
                <w:sz w:val="24"/>
                <w:szCs w:val="24"/>
                <w:rtl w:val="0"/>
              </w:rPr>
              <w:t xml:space="preserve">2: Detalhe do corpo emborrachado</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6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Durabilidade</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Tenho a preocupação de que a durabilidade deste fone seja limitada, uma vez que o tecido que o reveste já apresenta sinais de desgaste e deterioração.</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3: Detalhe do tecido desgastado.</w:t>
            </w:r>
            <w:r w:rsidDel="00000000" w:rsidR="00000000" w:rsidRPr="00000000">
              <w:rPr>
                <w:rtl w:val="0"/>
              </w:rPr>
            </w:r>
          </w:p>
        </w:tc>
      </w:tr>
    </w:tbl>
    <w:p w:rsidR="00000000" w:rsidDel="00000000" w:rsidP="00000000" w:rsidRDefault="00000000" w:rsidRPr="00000000" w14:paraId="0000006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Style w:val="Heading2"/>
        <w:numPr>
          <w:ilvl w:val="1"/>
          <w:numId w:val="1"/>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Através de uma análise minuciosa do produto, torna-se evidente sua notória excelência em termos de desempenho, um mérito que se atribui à sua origem como um fone de ouvido fabricado por uma marca de renome, notabilizada por oferecer produtos consistentemente classificados como intermediários. A rotina diária de utilização do dispositivo nos últimos dois anos tem servido como um testemunho da sua respeitável resistência, destacando a sua capacidade de manter uma performance constante ao longo do período.</w:t>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No entanto, uma preocupação notável emerge em relação ao tecido que reveste as partes de espuma do fone de ouvido. Embora este revestimento tenha contribuído para uma experiência de uso agradável, começa a manifestar indícios de deterioração e desgaste. O tecido está gradativamente se desfazendo, e com a passagem do tempo, cresce a apreensão de que esse problema possa comprometer a contínua viabilidade do fone de ouvido. Portanto, torna-se imprescindível investigar se existem opções de componentes de reposição disponíveis para assegurar a manutenção da qualidade e longevidade do produto.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1"/>
        </w:numPr>
        <w:ind w:left="1080" w:hanging="360"/>
        <w:rPr/>
      </w:pPr>
      <w:bookmarkStart w:colFirst="0" w:colLast="0" w:name="_heading=h.1t3h5sf" w:id="7"/>
      <w:bookmarkEnd w:id="7"/>
      <w:r w:rsidDel="00000000" w:rsidR="00000000" w:rsidRPr="00000000">
        <w:rPr>
          <w:rtl w:val="0"/>
        </w:rPr>
        <w:t xml:space="preserve"> Evidências </w:t>
      </w:r>
    </w:p>
    <w:p w:rsidR="00000000" w:rsidDel="00000000" w:rsidP="00000000" w:rsidRDefault="00000000" w:rsidRPr="00000000" w14:paraId="00000076">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070923" cy="4600893"/>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070923" cy="460089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rPr>
      </w:pPr>
      <w:r w:rsidDel="00000000" w:rsidR="00000000" w:rsidRPr="00000000">
        <w:rPr>
          <w:rFonts w:ascii="Arial" w:cs="Arial" w:eastAsia="Arial" w:hAnsi="Arial"/>
          <w:rtl w:val="0"/>
        </w:rPr>
        <w:t xml:space="preserve">Fig. 01: Foto do produto </w:t>
      </w:r>
    </w:p>
    <w:p w:rsidR="00000000" w:rsidDel="00000000" w:rsidP="00000000" w:rsidRDefault="00000000" w:rsidRPr="00000000" w14:paraId="00000078">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2425700"/>
            <wp:effectExtent b="0" l="0" r="0" t="0"/>
            <wp:docPr id="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39973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rPr>
      </w:pPr>
      <w:r w:rsidDel="00000000" w:rsidR="00000000" w:rsidRPr="00000000">
        <w:rPr>
          <w:rFonts w:ascii="Arial" w:cs="Arial" w:eastAsia="Arial" w:hAnsi="Arial"/>
          <w:rtl w:val="0"/>
        </w:rPr>
        <w:t xml:space="preserve">Fig.02: Detalhe do corpo emborrachado</w:t>
      </w:r>
    </w:p>
    <w:p w:rsidR="00000000" w:rsidDel="00000000" w:rsidP="00000000" w:rsidRDefault="00000000" w:rsidRPr="00000000" w14:paraId="0000007A">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836704" cy="4086542"/>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836704" cy="408654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rPr>
      </w:pPr>
      <w:r w:rsidDel="00000000" w:rsidR="00000000" w:rsidRPr="00000000">
        <w:rPr>
          <w:rFonts w:ascii="Arial" w:cs="Arial" w:eastAsia="Arial" w:hAnsi="Arial"/>
          <w:rtl w:val="0"/>
        </w:rPr>
        <w:t xml:space="preserve">Fig. 03: Detalhe do tecido desgastado</w:t>
      </w: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pStyle w:val="Heading2"/>
        <w:numPr>
          <w:ilvl w:val="1"/>
          <w:numId w:val="1"/>
        </w:numPr>
        <w:ind w:left="1080" w:hanging="360"/>
        <w:rPr/>
      </w:pPr>
      <w:bookmarkStart w:colFirst="0" w:colLast="0" w:name="_heading=h.4d34og8" w:id="8"/>
      <w:bookmarkEnd w:id="8"/>
      <w:r w:rsidDel="00000000" w:rsidR="00000000" w:rsidRPr="00000000">
        <w:rPr>
          <w:rtl w:val="0"/>
        </w:rPr>
        <w:t xml:space="preserve">Onde encontrar</w:t>
      </w:r>
    </w:p>
    <w:p w:rsidR="00000000" w:rsidDel="00000000" w:rsidP="00000000" w:rsidRDefault="00000000" w:rsidRPr="00000000" w14:paraId="0000007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produto pode ser encontrado em lojas online e físicas. Pode ser encontrado na </w:t>
      </w:r>
      <w:hyperlink r:id="rId11">
        <w:r w:rsidDel="00000000" w:rsidR="00000000" w:rsidRPr="00000000">
          <w:rPr>
            <w:rFonts w:ascii="Arial" w:cs="Arial" w:eastAsia="Arial" w:hAnsi="Arial"/>
            <w:color w:val="1155cc"/>
            <w:sz w:val="24"/>
            <w:szCs w:val="24"/>
            <w:u w:val="single"/>
            <w:rtl w:val="0"/>
          </w:rPr>
          <w:t xml:space="preserve">loja da amazon</w:t>
        </w:r>
      </w:hyperlink>
      <w:r w:rsidDel="00000000" w:rsidR="00000000" w:rsidRPr="00000000">
        <w:rPr>
          <w:rFonts w:ascii="Arial" w:cs="Arial" w:eastAsia="Arial" w:hAnsi="Arial"/>
          <w:sz w:val="24"/>
          <w:szCs w:val="24"/>
          <w:rtl w:val="0"/>
        </w:rPr>
        <w:t xml:space="preserve"> por cerca de 400 reais.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pStyle w:val="Heading1"/>
        <w:numPr>
          <w:ilvl w:val="0"/>
          <w:numId w:val="1"/>
        </w:numPr>
        <w:ind w:left="720" w:hanging="360"/>
        <w:rPr/>
      </w:pPr>
      <w:bookmarkStart w:colFirst="0" w:colLast="0" w:name="_heading=h.2s8eyo1" w:id="9"/>
      <w:bookmarkEnd w:id="9"/>
      <w:r w:rsidDel="00000000" w:rsidR="00000000" w:rsidRPr="00000000">
        <w:rPr>
          <w:rtl w:val="0"/>
        </w:rPr>
        <w:t xml:space="preserve">CONCLUSÃO</w:t>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suma, a análise do produto em questão revelou sua notável qualidade em termos de desempenho e durabilidade. A sua capacidade de manter um desempenho consistente ao longo de dois anos de uso diário é digna de elogios. No entanto, um ponto de preocupação surge com o desgaste do tecido que envolve as partes de espuma, que, se não houver peças de reposição disponíveis, pode comprometer sua utilidade a longo prazo. No entanto, no geral, o produto se destaca positivamente, e ao considerar os aspectos analisados, permanece como uma escolha viável para quem busca qualidade e durabilidade em um fone de ouvido.</w:t>
      </w:r>
    </w:p>
    <w:p w:rsidR="00000000" w:rsidDel="00000000" w:rsidP="00000000" w:rsidRDefault="00000000" w:rsidRPr="00000000" w14:paraId="00000082">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3">
      <w:pPr>
        <w:pStyle w:val="Heading1"/>
        <w:numPr>
          <w:ilvl w:val="0"/>
          <w:numId w:val="1"/>
        </w:numPr>
        <w:ind w:left="720" w:hanging="360"/>
        <w:rPr/>
      </w:pPr>
      <w:bookmarkStart w:colFirst="0" w:colLast="0" w:name="_heading=h.17dp8vu" w:id="10"/>
      <w:bookmarkEnd w:id="10"/>
      <w:r w:rsidDel="00000000" w:rsidR="00000000" w:rsidRPr="00000000">
        <w:rPr>
          <w:rtl w:val="0"/>
        </w:rPr>
        <w:t xml:space="preserve">REFERÊNCIAS BIBLIOGRÁFICAS </w:t>
      </w:r>
    </w:p>
    <w:p w:rsidR="00000000" w:rsidDel="00000000" w:rsidP="00000000" w:rsidRDefault="00000000" w:rsidRPr="00000000" w14:paraId="00000084">
      <w:pPr>
        <w:spacing w:line="360" w:lineRule="auto"/>
        <w:jc w:val="both"/>
        <w:rPr>
          <w:rFonts w:ascii="Arial" w:cs="Arial" w:eastAsia="Arial" w:hAnsi="Arial"/>
          <w:color w:val="000000"/>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br/Redragon-Vermelho-Microfone-Consoles-H510/dp/B07Y5K19V3/ref=asc_df_B07Y5K19V3/?tag=googleshopp00-20&amp;linkCode=df0&amp;hvadid=379708004298&amp;hvpos=&amp;hvnetw=g&amp;hvrand=16157014916911427484&amp;hvpone=&amp;hvptwo=&amp;hvqmt=&amp;hvdev=c&amp;hvdvcmdl=&amp;hvlocint=&amp;hvlocphy=9102506&amp;hvtargid=pla-925129613648&amp;psc=1" TargetMode="Externa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Px57piUV/mfHpRD5NHMpuWOb7w==">CgMxLjAyCGguZ2pkZ3hzMgloLjMwajB6bGwyCWguMWZvYjl0ZTIJaC4zem55c2g3MgloLjJldDkycDAyCGgudHlqY3d0MgloLjNkeTZ2a20yCWguMXQzaDVzZjIJaC40ZDM0b2c4MgloLjJzOGV5bzEyCWguMTdkcDh2dTgAciExalpQcUhrT3FuNVU4SmEwNnlHN1Viam1oUXpLTU1YeEc=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