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8E2D60">
      <w:pPr>
        <w:spacing w:before="312" w:beforeLines="100" w:line="120" w:lineRule="atLeast"/>
        <w:rPr>
          <w:sz w:val="52"/>
          <w:szCs w:val="52"/>
        </w:rPr>
      </w:pPr>
      <w:r>
        <w:rPr>
          <w:szCs w:val="22"/>
        </w:rPr>
        <w:drawing>
          <wp:anchor distT="0" distB="0" distL="114300" distR="114300" simplePos="0" relativeHeight="251659264" behindDoc="0" locked="0" layoutInCell="1" allowOverlap="1">
            <wp:simplePos x="0" y="0"/>
            <wp:positionH relativeFrom="column">
              <wp:posOffset>0</wp:posOffset>
            </wp:positionH>
            <wp:positionV relativeFrom="paragraph">
              <wp:posOffset>198120</wp:posOffset>
            </wp:positionV>
            <wp:extent cx="685800" cy="590550"/>
            <wp:effectExtent l="0" t="0" r="0" b="0"/>
            <wp:wrapTight wrapText="bothSides">
              <wp:wrapPolygon>
                <wp:start x="-300" y="0"/>
                <wp:lineTo x="-300" y="21252"/>
                <wp:lineTo x="21600" y="21252"/>
                <wp:lineTo x="21600" y="0"/>
                <wp:lineTo x="-300" y="0"/>
              </wp:wrapPolygon>
            </wp:wrapTight>
            <wp:docPr id="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
                    <pic:cNvPicPr>
                      <a:picLocks noChangeAspect="1"/>
                    </pic:cNvPicPr>
                  </pic:nvPicPr>
                  <pic:blipFill>
                    <a:blip r:embed="rId7"/>
                    <a:stretch>
                      <a:fillRect/>
                    </a:stretch>
                  </pic:blipFill>
                  <pic:spPr>
                    <a:xfrm>
                      <a:off x="0" y="0"/>
                      <a:ext cx="685800" cy="590550"/>
                    </a:xfrm>
                    <a:prstGeom prst="rect">
                      <a:avLst/>
                    </a:prstGeom>
                    <a:noFill/>
                    <a:ln>
                      <a:noFill/>
                    </a:ln>
                  </pic:spPr>
                </pic:pic>
              </a:graphicData>
            </a:graphic>
          </wp:anchor>
        </w:drawing>
      </w:r>
      <w:r>
        <w:rPr>
          <w:rFonts w:hint="eastAsia" w:ascii="黑体" w:hAnsi="等线" w:eastAsia="黑体"/>
          <w:szCs w:val="22"/>
        </w:rPr>
        <w:object>
          <v:shape id="_x0000_i1025" o:spt="75" type="#_x0000_t75" style="height:30.6pt;width:122.4pt;" o:ole="t" fillcolor="#6D6D6D" filled="f" o:preferrelative="t" stroked="f" coordsize="21600,21600">
            <v:path/>
            <v:fill on="f" focussize="0,0"/>
            <v:stroke on="f"/>
            <v:imagedata r:id="rId9" o:title=""/>
            <o:lock v:ext="edit" aspectratio="t"/>
            <w10:wrap type="none"/>
            <w10:anchorlock/>
          </v:shape>
          <o:OLEObject Type="Embed" ProgID="MSDraw" ShapeID="_x0000_i1025" DrawAspect="Content" ObjectID="_1468075725" r:id="rId8">
            <o:LockedField>false</o:LockedField>
          </o:OLEObject>
        </w:object>
      </w:r>
    </w:p>
    <w:p w14:paraId="42BF2CA7">
      <w:pPr>
        <w:pStyle w:val="8"/>
        <w:spacing w:after="0" w:line="200" w:lineRule="exact"/>
        <w:ind w:firstLine="0"/>
        <w:rPr>
          <w:rFonts w:eastAsia="黑体"/>
          <w:b/>
          <w:bCs/>
          <w:sz w:val="18"/>
          <w:szCs w:val="44"/>
        </w:rPr>
      </w:pPr>
      <w:r>
        <w:rPr>
          <w:rFonts w:eastAsia="黑体"/>
          <w:b/>
          <w:bCs/>
          <w:sz w:val="18"/>
          <w:szCs w:val="44"/>
        </w:rPr>
        <w:t>Harbin Institute of Technology</w:t>
      </w:r>
    </w:p>
    <w:p w14:paraId="42DCC299">
      <w:pPr>
        <w:pStyle w:val="8"/>
        <w:spacing w:before="1560" w:beforeLines="500" w:after="0" w:line="240" w:lineRule="auto"/>
        <w:ind w:firstLine="0"/>
        <w:jc w:val="center"/>
        <w:rPr>
          <w:rFonts w:eastAsia="华文隶书"/>
          <w:b/>
          <w:bCs/>
          <w:sz w:val="96"/>
          <w:szCs w:val="44"/>
        </w:rPr>
      </w:pPr>
      <w:r>
        <w:rPr>
          <w:rFonts w:hint="eastAsia" w:eastAsia="华文隶书"/>
          <w:b/>
          <w:bCs/>
          <w:sz w:val="96"/>
          <w:szCs w:val="44"/>
        </w:rPr>
        <w:t>课程设计说明书</w:t>
      </w:r>
    </w:p>
    <w:p w14:paraId="69BEDF81">
      <w:pPr>
        <w:spacing w:line="480" w:lineRule="auto"/>
        <w:ind w:firstLine="1620" w:firstLineChars="450"/>
        <w:rPr>
          <w:rFonts w:eastAsia="华文隶书"/>
          <w:sz w:val="36"/>
          <w:szCs w:val="28"/>
        </w:rPr>
      </w:pPr>
    </w:p>
    <w:p w14:paraId="3686D2FB">
      <w:pPr>
        <w:spacing w:line="480" w:lineRule="auto"/>
        <w:ind w:firstLine="1620" w:firstLineChars="450"/>
        <w:rPr>
          <w:rFonts w:eastAsia="华文隶书"/>
          <w:sz w:val="36"/>
          <w:szCs w:val="28"/>
          <w:u w:val="single"/>
        </w:rPr>
      </w:pPr>
      <w:r>
        <w:rPr>
          <w:rFonts w:hint="eastAsia" w:eastAsia="华文隶书"/>
          <w:sz w:val="36"/>
          <w:szCs w:val="28"/>
        </w:rPr>
        <w:t>课程名称：</w:t>
      </w:r>
      <w:r>
        <w:rPr>
          <w:rFonts w:hint="eastAsia" w:eastAsia="华文隶书"/>
          <w:sz w:val="36"/>
          <w:szCs w:val="28"/>
          <w:u w:val="single"/>
        </w:rPr>
        <w:t xml:space="preserve"> </w:t>
      </w:r>
      <w:r>
        <w:rPr>
          <w:rFonts w:eastAsia="华文隶书"/>
          <w:sz w:val="36"/>
          <w:szCs w:val="28"/>
          <w:u w:val="single"/>
        </w:rPr>
        <w:t xml:space="preserve">  </w:t>
      </w:r>
      <w:r>
        <w:rPr>
          <w:rFonts w:hint="eastAsia" w:eastAsia="华文隶书"/>
          <w:sz w:val="36"/>
          <w:szCs w:val="28"/>
          <w:u w:val="single"/>
          <w:lang w:val="en-US" w:eastAsia="zh-CN"/>
        </w:rPr>
        <w:t xml:space="preserve">  </w:t>
      </w:r>
      <w:r>
        <w:rPr>
          <w:rFonts w:hint="eastAsia" w:eastAsia="华文隶书"/>
          <w:sz w:val="36"/>
          <w:szCs w:val="28"/>
          <w:u w:val="single"/>
        </w:rPr>
        <w:t xml:space="preserve">智能控制项目实践  </w:t>
      </w:r>
      <w:r>
        <w:rPr>
          <w:rFonts w:eastAsia="华文隶书"/>
          <w:sz w:val="36"/>
          <w:szCs w:val="28"/>
          <w:u w:val="single"/>
        </w:rPr>
        <w:t xml:space="preserve"> </w:t>
      </w:r>
    </w:p>
    <w:p w14:paraId="00DE9641">
      <w:pPr>
        <w:spacing w:line="480" w:lineRule="auto"/>
        <w:ind w:firstLine="3420" w:firstLineChars="950"/>
        <w:rPr>
          <w:rFonts w:eastAsia="华文隶书"/>
          <w:sz w:val="36"/>
          <w:szCs w:val="28"/>
          <w:u w:val="single"/>
        </w:rPr>
      </w:pPr>
      <w:r>
        <w:rPr>
          <w:rFonts w:hint="eastAsia" w:eastAsia="华文隶书"/>
          <w:sz w:val="36"/>
          <w:szCs w:val="28"/>
          <w:u w:val="single"/>
        </w:rPr>
        <w:t xml:space="preserve"> </w:t>
      </w:r>
      <w:r>
        <w:rPr>
          <w:rFonts w:eastAsia="华文隶书"/>
          <w:sz w:val="36"/>
          <w:szCs w:val="28"/>
          <w:u w:val="single"/>
        </w:rPr>
        <w:t xml:space="preserve">    </w:t>
      </w:r>
      <w:r>
        <w:rPr>
          <w:rFonts w:hint="eastAsia" w:eastAsia="华文隶书"/>
          <w:sz w:val="36"/>
          <w:szCs w:val="28"/>
          <w:u w:val="single"/>
        </w:rPr>
        <w:t xml:space="preserve">课程项目报告 </w:t>
      </w:r>
      <w:r>
        <w:rPr>
          <w:rFonts w:eastAsia="华文隶书"/>
          <w:sz w:val="36"/>
          <w:szCs w:val="28"/>
          <w:u w:val="single"/>
        </w:rPr>
        <w:t xml:space="preserve">    </w:t>
      </w:r>
    </w:p>
    <w:p w14:paraId="31E6C4D6">
      <w:pPr>
        <w:spacing w:line="480" w:lineRule="auto"/>
        <w:ind w:firstLine="1620" w:firstLineChars="450"/>
        <w:rPr>
          <w:rFonts w:eastAsia="华文隶书"/>
          <w:sz w:val="36"/>
          <w:szCs w:val="28"/>
          <w:highlight w:val="none"/>
          <w:u w:val="single"/>
        </w:rPr>
      </w:pPr>
      <w:r>
        <w:rPr>
          <w:rFonts w:hint="eastAsia" w:eastAsia="华文隶书"/>
          <w:sz w:val="36"/>
          <w:szCs w:val="28"/>
        </w:rPr>
        <w:t>设计题目：</w:t>
      </w:r>
      <w:r>
        <w:rPr>
          <w:rFonts w:eastAsia="华文隶书"/>
          <w:sz w:val="36"/>
          <w:szCs w:val="28"/>
          <w:highlight w:val="none"/>
          <w:u w:val="single"/>
        </w:rPr>
        <w:t xml:space="preserve"> </w:t>
      </w:r>
      <w:r>
        <w:rPr>
          <w:rFonts w:hint="eastAsia" w:eastAsia="华文隶书"/>
          <w:sz w:val="36"/>
          <w:szCs w:val="28"/>
          <w:highlight w:val="none"/>
          <w:u w:val="single"/>
          <w:lang w:eastAsia="zh-CN"/>
        </w:rPr>
        <w:t>一种基于深度</w:t>
      </w:r>
      <w:r>
        <w:rPr>
          <w:rFonts w:hint="eastAsia" w:eastAsia="华文隶书"/>
          <w:sz w:val="36"/>
          <w:szCs w:val="28"/>
          <w:highlight w:val="none"/>
          <w:u w:val="single"/>
          <w:lang w:val="en-US" w:eastAsia="zh-CN"/>
        </w:rPr>
        <w:t>Q学习的同屏</w:t>
      </w:r>
    </w:p>
    <w:p w14:paraId="7DC37D76">
      <w:pPr>
        <w:spacing w:line="480" w:lineRule="auto"/>
        <w:ind w:firstLine="3420" w:firstLineChars="950"/>
        <w:rPr>
          <w:rFonts w:hint="eastAsia" w:eastAsia="华文隶书"/>
          <w:b w:val="0"/>
          <w:bCs w:val="0"/>
          <w:sz w:val="36"/>
          <w:szCs w:val="28"/>
          <w:highlight w:val="none"/>
          <w:u w:val="single"/>
        </w:rPr>
      </w:pPr>
      <w:r>
        <w:rPr>
          <w:rFonts w:hint="eastAsia" w:eastAsia="华文隶书"/>
          <w:b w:val="0"/>
          <w:bCs w:val="0"/>
          <w:sz w:val="36"/>
          <w:szCs w:val="28"/>
          <w:highlight w:val="none"/>
          <w:u w:val="single"/>
          <w:lang w:eastAsia="zh-CN"/>
        </w:rPr>
        <w:t>俄罗斯方块对抗系统及方法</w:t>
      </w:r>
      <w:r>
        <w:rPr>
          <w:rFonts w:eastAsia="华文隶书"/>
          <w:b w:val="0"/>
          <w:bCs w:val="0"/>
          <w:sz w:val="36"/>
          <w:szCs w:val="28"/>
          <w:highlight w:val="none"/>
          <w:u w:val="single"/>
        </w:rPr>
        <w:t xml:space="preserve">                        </w:t>
      </w:r>
    </w:p>
    <w:p w14:paraId="58B95140">
      <w:pPr>
        <w:spacing w:line="480" w:lineRule="auto"/>
        <w:ind w:firstLine="1620" w:firstLineChars="450"/>
        <w:rPr>
          <w:rFonts w:eastAsia="华文隶书"/>
          <w:sz w:val="36"/>
          <w:szCs w:val="28"/>
          <w:u w:val="single"/>
        </w:rPr>
      </w:pPr>
      <w:r>
        <w:rPr>
          <w:rFonts w:hint="eastAsia" w:eastAsia="华文隶书"/>
          <w:sz w:val="36"/>
          <w:szCs w:val="28"/>
        </w:rPr>
        <w:t>院</w:t>
      </w:r>
      <w:r>
        <w:rPr>
          <w:rFonts w:eastAsia="华文隶书"/>
          <w:sz w:val="36"/>
          <w:szCs w:val="28"/>
        </w:rPr>
        <w:t xml:space="preserve">    </w:t>
      </w:r>
      <w:r>
        <w:rPr>
          <w:rFonts w:hint="eastAsia" w:eastAsia="华文隶书"/>
          <w:sz w:val="36"/>
          <w:szCs w:val="28"/>
        </w:rPr>
        <w:t>系：</w:t>
      </w:r>
      <w:r>
        <w:rPr>
          <w:rFonts w:hint="eastAsia" w:eastAsia="华文隶书"/>
          <w:sz w:val="36"/>
          <w:szCs w:val="28"/>
          <w:u w:val="single"/>
        </w:rPr>
        <w:t xml:space="preserve"> </w:t>
      </w:r>
      <w:r>
        <w:rPr>
          <w:rFonts w:eastAsia="华文隶书"/>
          <w:sz w:val="36"/>
          <w:szCs w:val="28"/>
          <w:u w:val="single"/>
        </w:rPr>
        <w:t xml:space="preserve">    </w:t>
      </w:r>
      <w:r>
        <w:rPr>
          <w:rFonts w:hint="eastAsia" w:eastAsia="华文隶书"/>
          <w:sz w:val="36"/>
          <w:szCs w:val="28"/>
          <w:u w:val="single"/>
        </w:rPr>
        <w:t xml:space="preserve">未来技术学院 </w:t>
      </w:r>
      <w:r>
        <w:rPr>
          <w:rFonts w:eastAsia="华文隶书"/>
          <w:sz w:val="36"/>
          <w:szCs w:val="28"/>
          <w:u w:val="single"/>
        </w:rPr>
        <w:t xml:space="preserve">     </w:t>
      </w:r>
    </w:p>
    <w:p w14:paraId="674B7120">
      <w:pPr>
        <w:spacing w:line="480" w:lineRule="auto"/>
        <w:ind w:firstLine="1620" w:firstLineChars="450"/>
        <w:rPr>
          <w:rFonts w:eastAsia="华文隶书"/>
          <w:sz w:val="36"/>
          <w:szCs w:val="28"/>
          <w:u w:val="single"/>
        </w:rPr>
      </w:pPr>
      <w:r>
        <w:rPr>
          <w:rFonts w:hint="eastAsia" w:eastAsia="华文隶书"/>
          <w:sz w:val="36"/>
          <w:szCs w:val="28"/>
        </w:rPr>
        <w:t>年</w:t>
      </w:r>
      <w:r>
        <w:rPr>
          <w:rFonts w:eastAsia="华文隶书"/>
          <w:sz w:val="36"/>
          <w:szCs w:val="28"/>
        </w:rPr>
        <w:t xml:space="preserve">    </w:t>
      </w:r>
      <w:r>
        <w:rPr>
          <w:rFonts w:hint="eastAsia" w:eastAsia="华文隶书"/>
          <w:sz w:val="36"/>
          <w:szCs w:val="28"/>
        </w:rPr>
        <w:t>级：</w:t>
      </w:r>
      <w:r>
        <w:rPr>
          <w:rFonts w:eastAsia="华文隶书"/>
          <w:sz w:val="36"/>
          <w:szCs w:val="28"/>
          <w:u w:val="single"/>
        </w:rPr>
        <w:t xml:space="preserve">     2023</w:t>
      </w:r>
      <w:r>
        <w:rPr>
          <w:rFonts w:hint="eastAsia" w:eastAsia="华文隶书"/>
          <w:sz w:val="36"/>
          <w:szCs w:val="28"/>
          <w:u w:val="single"/>
        </w:rPr>
        <w:t>级本科生</w:t>
      </w:r>
      <w:r>
        <w:rPr>
          <w:rFonts w:eastAsia="华文隶书"/>
          <w:sz w:val="36"/>
          <w:szCs w:val="28"/>
          <w:u w:val="single"/>
        </w:rPr>
        <w:t xml:space="preserve">    </w:t>
      </w:r>
    </w:p>
    <w:p w14:paraId="0EBAA200">
      <w:pPr>
        <w:spacing w:line="480" w:lineRule="auto"/>
        <w:ind w:firstLine="1620" w:firstLineChars="450"/>
        <w:jc w:val="both"/>
        <w:rPr>
          <w:rFonts w:hint="default" w:eastAsia="华文隶书"/>
          <w:sz w:val="36"/>
          <w:szCs w:val="28"/>
          <w:highlight w:val="none"/>
          <w:u w:val="single"/>
          <w:lang w:val="en-US"/>
        </w:rPr>
      </w:pPr>
      <w:r>
        <w:rPr>
          <w:rFonts w:hint="eastAsia" w:eastAsia="华文隶书"/>
          <w:sz w:val="36"/>
          <w:szCs w:val="28"/>
        </w:rPr>
        <w:t>设</w:t>
      </w:r>
      <w:r>
        <w:rPr>
          <w:rFonts w:eastAsia="华文隶书"/>
          <w:sz w:val="36"/>
          <w:szCs w:val="28"/>
        </w:rPr>
        <w:t xml:space="preserve"> </w:t>
      </w:r>
      <w:r>
        <w:rPr>
          <w:rFonts w:hint="eastAsia" w:eastAsia="华文隶书"/>
          <w:sz w:val="36"/>
          <w:szCs w:val="28"/>
        </w:rPr>
        <w:t>计</w:t>
      </w:r>
      <w:r>
        <w:rPr>
          <w:rFonts w:eastAsia="华文隶书"/>
          <w:sz w:val="36"/>
          <w:szCs w:val="28"/>
        </w:rPr>
        <w:t xml:space="preserve"> </w:t>
      </w:r>
      <w:r>
        <w:rPr>
          <w:rFonts w:hint="eastAsia" w:eastAsia="华文隶书"/>
          <w:sz w:val="36"/>
          <w:szCs w:val="28"/>
        </w:rPr>
        <w:t>者：</w:t>
      </w:r>
      <w:r>
        <w:rPr>
          <w:rFonts w:eastAsia="华文隶书"/>
          <w:sz w:val="36"/>
          <w:szCs w:val="28"/>
          <w:highlight w:val="none"/>
          <w:u w:val="single"/>
        </w:rPr>
        <w:t xml:space="preserve">     </w:t>
      </w:r>
      <w:r>
        <w:rPr>
          <w:rFonts w:hint="eastAsia" w:eastAsia="华文隶书"/>
          <w:sz w:val="36"/>
          <w:szCs w:val="28"/>
          <w:highlight w:val="none"/>
          <w:u w:val="single"/>
          <w:lang w:eastAsia="zh-CN"/>
        </w:rPr>
        <w:t>商喜庆</w:t>
      </w:r>
      <w:r>
        <w:rPr>
          <w:rFonts w:hint="eastAsia" w:eastAsia="华文隶书"/>
          <w:sz w:val="36"/>
          <w:szCs w:val="28"/>
          <w:highlight w:val="none"/>
          <w:u w:val="single"/>
          <w:lang w:val="en-US" w:eastAsia="zh-CN"/>
        </w:rPr>
        <w:t xml:space="preserve">           </w:t>
      </w:r>
    </w:p>
    <w:p w14:paraId="2871661F">
      <w:pPr>
        <w:spacing w:line="480" w:lineRule="auto"/>
        <w:ind w:firstLine="1620" w:firstLineChars="450"/>
        <w:rPr>
          <w:rFonts w:eastAsia="华文隶书"/>
          <w:sz w:val="36"/>
          <w:szCs w:val="28"/>
          <w:highlight w:val="none"/>
          <w:u w:val="single"/>
        </w:rPr>
      </w:pPr>
      <w:r>
        <w:rPr>
          <w:rFonts w:hint="eastAsia" w:eastAsia="华文隶书"/>
          <w:sz w:val="36"/>
          <w:szCs w:val="28"/>
          <w:highlight w:val="none"/>
        </w:rPr>
        <w:t>学</w:t>
      </w:r>
      <w:r>
        <w:rPr>
          <w:rFonts w:eastAsia="华文隶书"/>
          <w:sz w:val="36"/>
          <w:szCs w:val="28"/>
          <w:highlight w:val="none"/>
        </w:rPr>
        <w:t xml:space="preserve">    </w:t>
      </w:r>
      <w:r>
        <w:rPr>
          <w:rFonts w:hint="eastAsia" w:eastAsia="华文隶书"/>
          <w:sz w:val="36"/>
          <w:szCs w:val="28"/>
          <w:highlight w:val="none"/>
        </w:rPr>
        <w:t>号：</w:t>
      </w:r>
      <w:r>
        <w:rPr>
          <w:rFonts w:eastAsia="华文隶书"/>
          <w:b w:val="0"/>
          <w:bCs w:val="0"/>
          <w:sz w:val="36"/>
          <w:szCs w:val="28"/>
          <w:highlight w:val="none"/>
          <w:u w:val="single"/>
        </w:rPr>
        <w:t xml:space="preserve">     </w:t>
      </w:r>
      <w:r>
        <w:rPr>
          <w:rFonts w:hint="eastAsia" w:eastAsia="华文隶书"/>
          <w:b w:val="0"/>
          <w:bCs w:val="0"/>
          <w:sz w:val="36"/>
          <w:szCs w:val="28"/>
          <w:highlight w:val="none"/>
          <w:u w:val="single"/>
          <w:lang w:val="en-US" w:eastAsia="zh-CN"/>
        </w:rPr>
        <w:t>2023112491</w:t>
      </w:r>
      <w:r>
        <w:rPr>
          <w:rFonts w:eastAsia="华文隶书"/>
          <w:b w:val="0"/>
          <w:bCs w:val="0"/>
          <w:sz w:val="36"/>
          <w:szCs w:val="28"/>
          <w:highlight w:val="none"/>
          <w:u w:val="single"/>
        </w:rPr>
        <w:t xml:space="preserve">    </w:t>
      </w:r>
    </w:p>
    <w:p w14:paraId="5BDBBA8C">
      <w:pPr>
        <w:spacing w:line="480" w:lineRule="auto"/>
        <w:ind w:firstLine="1620" w:firstLineChars="450"/>
        <w:rPr>
          <w:rFonts w:hint="eastAsia" w:eastAsia="华文隶书"/>
          <w:sz w:val="36"/>
          <w:szCs w:val="28"/>
          <w:u w:val="single"/>
          <w:lang w:val="en-US" w:eastAsia="zh-CN"/>
        </w:rPr>
      </w:pPr>
      <w:r>
        <w:rPr>
          <w:rFonts w:hint="eastAsia" w:eastAsia="华文隶书"/>
          <w:sz w:val="36"/>
          <w:szCs w:val="28"/>
        </w:rPr>
        <w:t>指导教师：</w:t>
      </w:r>
      <w:r>
        <w:rPr>
          <w:rFonts w:eastAsia="华文隶书"/>
          <w:sz w:val="36"/>
          <w:szCs w:val="28"/>
          <w:u w:val="single"/>
        </w:rPr>
        <w:t xml:space="preserve">     </w:t>
      </w:r>
      <w:r>
        <w:rPr>
          <w:rFonts w:hint="eastAsia" w:eastAsia="华文隶书"/>
          <w:sz w:val="36"/>
          <w:szCs w:val="28"/>
          <w:u w:val="single"/>
        </w:rPr>
        <w:t>张淼</w:t>
      </w:r>
      <w:r>
        <w:rPr>
          <w:rFonts w:eastAsia="华文隶书"/>
          <w:sz w:val="36"/>
          <w:szCs w:val="28"/>
          <w:u w:val="single"/>
        </w:rPr>
        <w:t xml:space="preserve">     </w:t>
      </w:r>
      <w:r>
        <w:rPr>
          <w:rFonts w:hint="eastAsia" w:eastAsia="华文隶书"/>
          <w:sz w:val="36"/>
          <w:szCs w:val="28"/>
          <w:u w:val="single"/>
        </w:rPr>
        <w:t xml:space="preserve"> </w:t>
      </w:r>
      <w:r>
        <w:rPr>
          <w:rFonts w:eastAsia="华文隶书"/>
          <w:sz w:val="36"/>
          <w:szCs w:val="28"/>
          <w:u w:val="single"/>
        </w:rPr>
        <w:t xml:space="preserve">    </w:t>
      </w:r>
    </w:p>
    <w:p w14:paraId="1B0FC026">
      <w:pPr>
        <w:spacing w:line="480" w:lineRule="auto"/>
        <w:ind w:firstLine="1620" w:firstLineChars="450"/>
        <w:rPr>
          <w:rFonts w:hint="eastAsia" w:eastAsia="华文隶书"/>
          <w:sz w:val="36"/>
          <w:szCs w:val="28"/>
          <w:u w:val="single"/>
          <w:lang w:val="en-US" w:eastAsia="zh-CN"/>
        </w:rPr>
      </w:pPr>
      <w:r>
        <w:rPr>
          <w:rFonts w:hint="eastAsia" w:eastAsia="华文隶书"/>
          <w:sz w:val="36"/>
          <w:szCs w:val="28"/>
        </w:rPr>
        <w:t>设计时间：</w:t>
      </w:r>
      <w:r>
        <w:rPr>
          <w:rFonts w:eastAsia="华文隶书"/>
          <w:sz w:val="36"/>
          <w:szCs w:val="28"/>
          <w:u w:val="single"/>
        </w:rPr>
        <w:t xml:space="preserve">   </w:t>
      </w:r>
      <w:r>
        <w:rPr>
          <w:rFonts w:hint="eastAsia" w:eastAsia="华文隶书"/>
          <w:sz w:val="36"/>
          <w:szCs w:val="28"/>
          <w:u w:val="single"/>
          <w:lang w:val="en-US" w:eastAsia="zh-CN"/>
        </w:rPr>
        <w:t xml:space="preserve">  </w:t>
      </w:r>
      <w:r>
        <w:rPr>
          <w:rFonts w:eastAsia="华文隶书"/>
          <w:sz w:val="36"/>
          <w:szCs w:val="28"/>
          <w:u w:val="single"/>
        </w:rPr>
        <w:t>2026</w:t>
      </w:r>
      <w:r>
        <w:rPr>
          <w:rFonts w:hint="eastAsia" w:eastAsia="华文隶书"/>
          <w:sz w:val="36"/>
          <w:szCs w:val="28"/>
          <w:u w:val="single"/>
        </w:rPr>
        <w:t xml:space="preserve">年春季学期 </w:t>
      </w:r>
      <w:r>
        <w:rPr>
          <w:rFonts w:eastAsia="华文隶书"/>
          <w:sz w:val="36"/>
          <w:szCs w:val="28"/>
          <w:u w:val="single"/>
        </w:rPr>
        <w:t xml:space="preserve">  </w:t>
      </w:r>
      <w:r>
        <w:rPr>
          <w:rFonts w:hint="eastAsia" w:eastAsia="华文隶书"/>
          <w:sz w:val="36"/>
          <w:szCs w:val="28"/>
          <w:u w:val="single"/>
          <w:lang w:val="en-US" w:eastAsia="zh-CN"/>
        </w:rPr>
        <w:t xml:space="preserve"> </w:t>
      </w:r>
    </w:p>
    <w:p w14:paraId="3B5DB4DA">
      <w:pPr>
        <w:spacing w:line="480" w:lineRule="auto"/>
        <w:jc w:val="center"/>
        <w:rPr>
          <w:rFonts w:eastAsia="华文隶书"/>
          <w:sz w:val="32"/>
          <w:szCs w:val="28"/>
        </w:rPr>
      </w:pPr>
    </w:p>
    <w:p w14:paraId="3320AB3F">
      <w:pPr>
        <w:spacing w:before="468" w:beforeLines="150" w:line="480" w:lineRule="auto"/>
        <w:jc w:val="center"/>
        <w:rPr>
          <w:rFonts w:eastAsia="华文隶书"/>
          <w:sz w:val="32"/>
          <w:szCs w:val="28"/>
        </w:rPr>
      </w:pPr>
      <w:r>
        <w:rPr>
          <w:rFonts w:hint="eastAsia" w:eastAsia="华文隶书"/>
          <w:sz w:val="32"/>
          <w:szCs w:val="28"/>
        </w:rPr>
        <w:t>哈尔滨工业大学</w:t>
      </w:r>
    </w:p>
    <w:p w14:paraId="7F8EFF4E">
      <w:pPr>
        <w:rPr>
          <w:sz w:val="28"/>
          <w:szCs w:val="28"/>
        </w:rPr>
      </w:pPr>
      <w:bookmarkStart w:id="0" w:name="OLE_LINK2"/>
      <w:bookmarkStart w:id="1" w:name="OLE_LINK1"/>
      <w:r>
        <w:rPr>
          <w:szCs w:val="21"/>
          <w:u w:val="single"/>
        </w:rPr>
        <w:br w:type="page"/>
      </w:r>
    </w:p>
    <w:p w14:paraId="0B8FF4E8">
      <w:pPr>
        <w:jc w:val="center"/>
        <w:rPr>
          <w:rFonts w:hint="eastAsia"/>
          <w:b/>
          <w:sz w:val="36"/>
          <w:szCs w:val="36"/>
        </w:rPr>
      </w:pPr>
      <w:r>
        <w:rPr>
          <w:rFonts w:hint="eastAsia"/>
          <w:b/>
          <w:sz w:val="36"/>
          <w:szCs w:val="36"/>
        </w:rPr>
        <w:t>智能控制项目实践——任务书</w:t>
      </w:r>
    </w:p>
    <w:p w14:paraId="29171EC0">
      <w:pPr>
        <w:rPr>
          <w:rFonts w:hint="eastAsia"/>
          <w:sz w:val="24"/>
        </w:rPr>
      </w:pPr>
    </w:p>
    <w:p w14:paraId="78F86372">
      <w:pPr>
        <w:rPr>
          <w:rFonts w:hint="eastAsia"/>
          <w:sz w:val="24"/>
        </w:rPr>
      </w:pPr>
      <w:r>
        <w:rPr>
          <w:rFonts w:hint="eastAsia"/>
          <w:sz w:val="24"/>
        </w:rPr>
        <w:t>1．课程报告要求：</w:t>
      </w:r>
    </w:p>
    <w:p w14:paraId="287EED8A">
      <w:pPr>
        <w:ind w:firstLine="480" w:firstLineChars="200"/>
        <w:rPr>
          <w:sz w:val="24"/>
        </w:rPr>
      </w:pPr>
      <w:r>
        <w:rPr>
          <w:rFonts w:hint="eastAsia"/>
          <w:sz w:val="24"/>
        </w:rPr>
        <w:t>结合实践项目及课程所讲述的分析处理、特征提取、深度网络、强化学习等方面内容，以自身在项目研发工作中的软件课题/方法实现为课程报告内容，按照专利撰写规范，题目自拟，撰写一份发明专利申请材料，重点涉及专利文件最核心的</w:t>
      </w:r>
      <w:r>
        <w:rPr>
          <w:rFonts w:hint="eastAsia"/>
          <w:b/>
          <w:sz w:val="24"/>
        </w:rPr>
        <w:t>说明书（含附图）</w:t>
      </w:r>
      <w:r>
        <w:rPr>
          <w:rFonts w:hint="eastAsia"/>
          <w:sz w:val="24"/>
        </w:rPr>
        <w:t>的撰写。</w:t>
      </w:r>
    </w:p>
    <w:p w14:paraId="136403EA">
      <w:pPr>
        <w:rPr>
          <w:rFonts w:hint="eastAsia"/>
          <w:sz w:val="24"/>
        </w:rPr>
      </w:pPr>
    </w:p>
    <w:p w14:paraId="17339276">
      <w:pPr>
        <w:rPr>
          <w:rFonts w:hint="eastAsia"/>
          <w:sz w:val="24"/>
        </w:rPr>
      </w:pPr>
      <w:r>
        <w:rPr>
          <w:rFonts w:hint="eastAsia"/>
          <w:sz w:val="24"/>
        </w:rPr>
        <w:t>2．任务工作量：</w:t>
      </w:r>
    </w:p>
    <w:p w14:paraId="4098A935">
      <w:pPr>
        <w:ind w:firstLine="480" w:firstLineChars="200"/>
        <w:rPr>
          <w:sz w:val="24"/>
        </w:rPr>
      </w:pPr>
      <w:r>
        <w:rPr>
          <w:rFonts w:hint="eastAsia"/>
          <w:sz w:val="24"/>
        </w:rPr>
        <w:t>说明书撰写应包含以下工作：</w:t>
      </w:r>
    </w:p>
    <w:p w14:paraId="524CA9DE">
      <w:pPr>
        <w:rPr>
          <w:rFonts w:hint="eastAsia"/>
          <w:sz w:val="24"/>
        </w:rPr>
      </w:pPr>
      <w:r>
        <w:rPr>
          <w:rFonts w:hint="eastAsia"/>
          <w:sz w:val="24"/>
        </w:rPr>
        <w:t>（1）技术背景介绍；</w:t>
      </w:r>
    </w:p>
    <w:p w14:paraId="08BA19E8">
      <w:pPr>
        <w:rPr>
          <w:rFonts w:hint="eastAsia"/>
          <w:sz w:val="24"/>
        </w:rPr>
      </w:pPr>
      <w:r>
        <w:rPr>
          <w:rFonts w:hint="eastAsia"/>
          <w:sz w:val="24"/>
        </w:rPr>
        <w:t>（2）主要涉及方案；</w:t>
      </w:r>
    </w:p>
    <w:p w14:paraId="39D9016F">
      <w:pPr>
        <w:rPr>
          <w:sz w:val="24"/>
        </w:rPr>
      </w:pPr>
      <w:r>
        <w:rPr>
          <w:rFonts w:hint="eastAsia"/>
          <w:sz w:val="24"/>
        </w:rPr>
        <w:t>（</w:t>
      </w:r>
      <w:r>
        <w:rPr>
          <w:sz w:val="24"/>
        </w:rPr>
        <w:t>3</w:t>
      </w:r>
      <w:r>
        <w:rPr>
          <w:rFonts w:hint="eastAsia"/>
          <w:sz w:val="24"/>
        </w:rPr>
        <w:t>）发明内容的有益效果分析；</w:t>
      </w:r>
    </w:p>
    <w:p w14:paraId="37DDB28E">
      <w:pPr>
        <w:rPr>
          <w:sz w:val="24"/>
        </w:rPr>
      </w:pPr>
      <w:r>
        <w:rPr>
          <w:rFonts w:hint="eastAsia"/>
          <w:sz w:val="24"/>
        </w:rPr>
        <w:t>（</w:t>
      </w:r>
      <w:r>
        <w:rPr>
          <w:sz w:val="24"/>
        </w:rPr>
        <w:t>4</w:t>
      </w:r>
      <w:r>
        <w:rPr>
          <w:rFonts w:hint="eastAsia"/>
          <w:sz w:val="24"/>
        </w:rPr>
        <w:t>）给出必要的说明书附图，以增强说明书的可读性；</w:t>
      </w:r>
    </w:p>
    <w:p w14:paraId="2C4EAB5A">
      <w:pPr>
        <w:rPr>
          <w:rFonts w:hint="eastAsia"/>
          <w:sz w:val="24"/>
        </w:rPr>
      </w:pPr>
      <w:r>
        <w:rPr>
          <w:rFonts w:hint="eastAsia"/>
          <w:sz w:val="24"/>
        </w:rPr>
        <w:t>（</w:t>
      </w:r>
      <w:r>
        <w:rPr>
          <w:sz w:val="24"/>
        </w:rPr>
        <w:t>5</w:t>
      </w:r>
      <w:r>
        <w:rPr>
          <w:rFonts w:hint="eastAsia"/>
          <w:sz w:val="24"/>
        </w:rPr>
        <w:t>）设计方案的实施例。</w:t>
      </w:r>
    </w:p>
    <w:p w14:paraId="2D62656E">
      <w:pPr>
        <w:rPr>
          <w:rFonts w:hint="eastAsia"/>
          <w:sz w:val="24"/>
        </w:rPr>
      </w:pPr>
    </w:p>
    <w:p w14:paraId="1D5A6C8A">
      <w:pPr>
        <w:rPr>
          <w:sz w:val="24"/>
        </w:rPr>
      </w:pPr>
      <w:r>
        <w:rPr>
          <w:rFonts w:hint="eastAsia"/>
          <w:sz w:val="24"/>
        </w:rPr>
        <w:t>3．评分标准——从以下四方面综合考虑（占比相同）</w:t>
      </w:r>
    </w:p>
    <w:p w14:paraId="3F0849AA">
      <w:pPr>
        <w:rPr>
          <w:rFonts w:hint="eastAsia"/>
          <w:sz w:val="24"/>
        </w:rPr>
      </w:pPr>
      <w:r>
        <w:rPr>
          <w:rFonts w:hint="eastAsia"/>
          <w:sz w:val="24"/>
        </w:rPr>
        <w:t>（1）格式规范性（2</w:t>
      </w:r>
      <w:r>
        <w:rPr>
          <w:sz w:val="24"/>
        </w:rPr>
        <w:t>5</w:t>
      </w:r>
      <w:r>
        <w:rPr>
          <w:rFonts w:hint="eastAsia"/>
          <w:sz w:val="24"/>
        </w:rPr>
        <w:t>分）</w:t>
      </w:r>
    </w:p>
    <w:p w14:paraId="47C61FC2">
      <w:pPr>
        <w:rPr>
          <w:sz w:val="24"/>
        </w:rPr>
      </w:pPr>
      <w:r>
        <w:rPr>
          <w:rFonts w:hint="eastAsia"/>
          <w:sz w:val="24"/>
        </w:rPr>
        <w:t>（2）内容原创性（2</w:t>
      </w:r>
      <w:r>
        <w:rPr>
          <w:sz w:val="24"/>
        </w:rPr>
        <w:t>5</w:t>
      </w:r>
      <w:r>
        <w:rPr>
          <w:rFonts w:hint="eastAsia"/>
          <w:sz w:val="24"/>
        </w:rPr>
        <w:t>分）</w:t>
      </w:r>
    </w:p>
    <w:p w14:paraId="17D9F8A7">
      <w:pPr>
        <w:rPr>
          <w:sz w:val="24"/>
        </w:rPr>
      </w:pPr>
      <w:r>
        <w:rPr>
          <w:rFonts w:hint="eastAsia"/>
          <w:sz w:val="24"/>
        </w:rPr>
        <w:t>（3）说明书内容是否明确指明了实际解决的技术问题，即为获得更好的技术效果而需要对最接近现有技术进行改进的技术任务，是否明确指明了区别特征，并且是应用该特征来解决实际问题或困难的（2</w:t>
      </w:r>
      <w:r>
        <w:rPr>
          <w:sz w:val="24"/>
        </w:rPr>
        <w:t>5</w:t>
      </w:r>
      <w:r>
        <w:rPr>
          <w:rFonts w:hint="eastAsia"/>
          <w:sz w:val="24"/>
        </w:rPr>
        <w:t>分）</w:t>
      </w:r>
    </w:p>
    <w:p w14:paraId="56ED66F6">
      <w:pPr>
        <w:rPr>
          <w:rFonts w:hint="eastAsia"/>
          <w:sz w:val="24"/>
        </w:rPr>
      </w:pPr>
      <w:r>
        <w:rPr>
          <w:rFonts w:hint="eastAsia"/>
          <w:sz w:val="24"/>
        </w:rPr>
        <w:t>（4）程序代码的完善度，请将源程序（含打包版）和报告一并提交（2</w:t>
      </w:r>
      <w:r>
        <w:rPr>
          <w:sz w:val="24"/>
        </w:rPr>
        <w:t>5</w:t>
      </w:r>
      <w:r>
        <w:rPr>
          <w:rFonts w:hint="eastAsia"/>
          <w:sz w:val="24"/>
        </w:rPr>
        <w:t>分）</w:t>
      </w:r>
    </w:p>
    <w:p w14:paraId="69599543">
      <w:pPr>
        <w:rPr>
          <w:rFonts w:hint="eastAsia"/>
          <w:sz w:val="24"/>
        </w:rPr>
      </w:pPr>
    </w:p>
    <w:p w14:paraId="3257C5CC">
      <w:pPr>
        <w:rPr>
          <w:rFonts w:hint="eastAsia"/>
          <w:sz w:val="24"/>
        </w:rPr>
      </w:pPr>
      <w:r>
        <w:rPr>
          <w:sz w:val="24"/>
        </w:rPr>
        <w:t>4</w:t>
      </w:r>
      <w:r>
        <w:rPr>
          <w:rFonts w:hint="eastAsia"/>
          <w:sz w:val="24"/>
        </w:rPr>
        <w:t>．工作计划</w:t>
      </w:r>
    </w:p>
    <w:p w14:paraId="133F84A0">
      <w:pPr>
        <w:spacing w:line="360" w:lineRule="exact"/>
        <w:rPr>
          <w:rFonts w:hint="eastAsia"/>
          <w:sz w:val="24"/>
        </w:rPr>
      </w:pPr>
      <w:r>
        <w:rPr>
          <w:rFonts w:hint="eastAsia"/>
          <w:sz w:val="24"/>
        </w:rPr>
        <w:t>（1）理论阶段：掌握课程所讲内容，树立创新观念，结合老师给定大方向自拟开发项目题目并明确说明书背景。</w:t>
      </w:r>
    </w:p>
    <w:p w14:paraId="5FB44D2A">
      <w:pPr>
        <w:spacing w:line="360" w:lineRule="exact"/>
        <w:rPr>
          <w:sz w:val="24"/>
        </w:rPr>
      </w:pPr>
      <w:r>
        <w:rPr>
          <w:rFonts w:hint="eastAsia"/>
          <w:sz w:val="24"/>
        </w:rPr>
        <w:t>（2）实践阶段：实现项目基本功能、结合深度学习或其他智能算法，自拟仿真题目，通过计算机仿真，完成发明内容的主要步骤。</w:t>
      </w:r>
    </w:p>
    <w:p w14:paraId="29561C15">
      <w:pPr>
        <w:rPr>
          <w:rFonts w:hint="eastAsia"/>
          <w:sz w:val="24"/>
        </w:rPr>
      </w:pPr>
      <w:r>
        <w:rPr>
          <w:rFonts w:hint="eastAsia"/>
          <w:sz w:val="24"/>
        </w:rPr>
        <w:t>（</w:t>
      </w:r>
      <w:r>
        <w:rPr>
          <w:sz w:val="24"/>
        </w:rPr>
        <w:t>3</w:t>
      </w:r>
      <w:r>
        <w:rPr>
          <w:rFonts w:hint="eastAsia"/>
          <w:sz w:val="24"/>
        </w:rPr>
        <w:t>）课程最后1节（项目验收）：按照模板/样例，撰写开发文档，打包源代码，课上展示Demo，介绍开发历程，开发文档连同程序代码一同拷给老师。</w:t>
      </w:r>
    </w:p>
    <w:p w14:paraId="337C3804">
      <w:pPr>
        <w:spacing w:line="360" w:lineRule="exact"/>
        <w:outlineLvl w:val="0"/>
        <w:rPr>
          <w:rFonts w:hint="eastAsia"/>
          <w:sz w:val="24"/>
        </w:rPr>
      </w:pPr>
      <w:r>
        <w:rPr>
          <w:rFonts w:hint="eastAsia"/>
          <w:sz w:val="24"/>
        </w:rPr>
        <w:t>（</w:t>
      </w:r>
      <w:r>
        <w:rPr>
          <w:sz w:val="24"/>
        </w:rPr>
        <w:t>4</w:t>
      </w:r>
      <w:r>
        <w:rPr>
          <w:rFonts w:hint="eastAsia"/>
          <w:sz w:val="24"/>
        </w:rPr>
        <w:t>）课程结束后</w:t>
      </w:r>
      <w:r>
        <w:rPr>
          <w:sz w:val="24"/>
        </w:rPr>
        <w:t>1</w:t>
      </w:r>
      <w:r>
        <w:rPr>
          <w:rFonts w:hint="eastAsia"/>
          <w:sz w:val="24"/>
        </w:rPr>
        <w:t>周（模拟专利）：撰写发明实施例，完善有益效果分析、说明书附图等环节，同时写明如何应用发明的区别特征来解决实际问题或困难的。</w:t>
      </w:r>
    </w:p>
    <w:p w14:paraId="04C51A20">
      <w:pPr>
        <w:rPr>
          <w:sz w:val="24"/>
        </w:rPr>
      </w:pPr>
    </w:p>
    <w:p w14:paraId="7F6C53CC">
      <w:pPr>
        <w:wordWrap w:val="0"/>
        <w:ind w:right="240"/>
        <w:jc w:val="right"/>
        <w:rPr>
          <w:b/>
          <w:szCs w:val="21"/>
        </w:rPr>
      </w:pPr>
      <w:r>
        <w:rPr>
          <w:rFonts w:hint="eastAsia"/>
          <w:sz w:val="24"/>
        </w:rPr>
        <w:t>教师签字：_</w:t>
      </w:r>
      <w:r>
        <w:rPr>
          <w:sz w:val="24"/>
        </w:rPr>
        <w:t>__________</w:t>
      </w:r>
    </w:p>
    <w:p w14:paraId="48FB8BE1">
      <w:pPr>
        <w:ind w:right="240"/>
        <w:jc w:val="right"/>
        <w:rPr>
          <w:b/>
          <w:szCs w:val="21"/>
        </w:rPr>
      </w:pPr>
    </w:p>
    <w:p w14:paraId="02EF47FF">
      <w:pPr>
        <w:ind w:right="240"/>
        <w:jc w:val="right"/>
        <w:rPr>
          <w:rFonts w:hint="eastAsia"/>
          <w:b/>
          <w:szCs w:val="21"/>
        </w:rPr>
      </w:pPr>
      <w:r>
        <w:rPr>
          <w:rFonts w:hint="eastAsia"/>
          <w:b/>
          <w:szCs w:val="21"/>
        </w:rPr>
        <w:t>（本页无需填写，所提交课程报告保留本页）</w:t>
      </w:r>
    </w:p>
    <w:p w14:paraId="7F7AB62A">
      <w:pPr>
        <w:spacing w:before="60"/>
        <w:ind w:right="97" w:rightChars="46"/>
        <w:jc w:val="center"/>
        <w:rPr>
          <w:b/>
          <w:color w:val="000000"/>
          <w:sz w:val="24"/>
        </w:rPr>
      </w:pPr>
      <w:r>
        <w:rPr>
          <w:b/>
          <w:color w:val="000000"/>
          <w:sz w:val="24"/>
        </w:rPr>
        <w:br w:type="page"/>
      </w:r>
    </w:p>
    <w:p w14:paraId="7D77B695">
      <w:pPr>
        <w:spacing w:before="60"/>
        <w:ind w:right="97" w:rightChars="46"/>
        <w:jc w:val="center"/>
        <w:rPr>
          <w:rFonts w:hint="eastAsia" w:eastAsia="宋体"/>
          <w:b/>
          <w:color w:val="000000"/>
          <w:sz w:val="30"/>
          <w:szCs w:val="30"/>
          <w:lang w:eastAsia="zh-CN"/>
        </w:rPr>
      </w:pPr>
      <w:r>
        <w:rPr>
          <w:rFonts w:hint="eastAsia" w:eastAsia="宋体"/>
          <w:b/>
          <w:color w:val="000000"/>
          <w:sz w:val="30"/>
          <w:szCs w:val="30"/>
          <w:lang w:eastAsia="zh-CN"/>
        </w:rPr>
        <w:t>一种基于深度Q学习的同屏俄罗斯方块对抗系统及方法</w:t>
      </w:r>
    </w:p>
    <w:bookmarkEnd w:id="0"/>
    <w:bookmarkEnd w:id="1"/>
    <w:p w14:paraId="0300FD08">
      <w:pPr>
        <w:spacing w:line="360" w:lineRule="auto"/>
        <w:jc w:val="center"/>
        <w:textAlignment w:val="center"/>
        <w:rPr>
          <w:rFonts w:hint="eastAsia"/>
          <w:color w:val="000000"/>
          <w:sz w:val="30"/>
          <w:szCs w:val="30"/>
        </w:rPr>
      </w:pPr>
    </w:p>
    <w:p w14:paraId="6326D75A">
      <w:pPr>
        <w:spacing w:line="360" w:lineRule="auto"/>
        <w:textAlignment w:val="center"/>
        <w:rPr>
          <w:b/>
          <w:color w:val="000000"/>
          <w:sz w:val="24"/>
        </w:rPr>
      </w:pPr>
      <w:r>
        <w:rPr>
          <w:b/>
          <w:color w:val="000000"/>
          <w:sz w:val="24"/>
        </w:rPr>
        <w:t>（一）技术领域</w:t>
      </w:r>
    </w:p>
    <w:p w14:paraId="629AC61E">
      <w:pPr>
        <w:pStyle w:val="14"/>
        <w:bidi w:val="0"/>
        <w:rPr>
          <w:rFonts w:hint="eastAsia"/>
          <w:lang w:val="en-US" w:eastAsia="zh-CN"/>
        </w:rPr>
      </w:pPr>
      <w:r>
        <w:t>本发明</w:t>
      </w:r>
      <w:r>
        <w:rPr>
          <w:rFonts w:hint="eastAsia"/>
          <w:lang w:eastAsia="zh-CN"/>
        </w:rPr>
        <w:t>涉及计算机游戏智能控制、人机交互与强化学习决策技术领域，具体涉及一种基于深度</w:t>
      </w:r>
      <w:r>
        <w:rPr>
          <w:rFonts w:hint="eastAsia"/>
          <w:lang w:val="en-US" w:eastAsia="zh-CN"/>
        </w:rPr>
        <w:t>Q学习的同屏俄罗斯方块对抗系统及方法。该系统面向俄罗斯方块实时竞技场景，通过棋盘状态特征提取、候选落点评估、深度Q网络价值预测以及自适应旁路降级机制，实现人类玩家与智能体之间的实时对抗控制。</w:t>
      </w:r>
    </w:p>
    <w:p w14:paraId="6707D661">
      <w:pPr>
        <w:numPr>
          <w:ilvl w:val="0"/>
          <w:numId w:val="1"/>
        </w:numPr>
        <w:spacing w:line="360" w:lineRule="auto"/>
        <w:textAlignment w:val="center"/>
        <w:outlineLvl w:val="0"/>
        <w:rPr>
          <w:b/>
          <w:color w:val="000000"/>
          <w:sz w:val="24"/>
        </w:rPr>
      </w:pPr>
      <w:r>
        <w:rPr>
          <w:b/>
          <w:color w:val="000000"/>
          <w:sz w:val="24"/>
        </w:rPr>
        <w:t>背景技术</w:t>
      </w:r>
    </w:p>
    <w:p w14:paraId="23A55CD9">
      <w:pPr>
        <w:pStyle w:val="14"/>
        <w:bidi w:val="0"/>
        <w:rPr>
          <w:rFonts w:hint="eastAsia"/>
          <w:lang w:eastAsia="zh-CN"/>
        </w:rPr>
      </w:pPr>
      <w:r>
        <w:rPr>
          <w:rFonts w:hint="eastAsia"/>
          <w:lang w:eastAsia="zh-CN"/>
        </w:rPr>
        <w:t>俄罗斯方块是一种典型的离散状态、连续决策、实时反馈型益智游戏。由于其规则明确、状态空间动态变化明显、动作选择对后续局面影响较大，俄罗斯方块常被用于人工智能算法验证、智能控制实验和人机博弈系统设计。在常规游戏实现中，系统通常只包含方块生成、旋转、平移、下落、消行和计分等基础功能，玩法多以单人模式为主，缺少高实时性的人机对抗机制，也难以体现智能控制算法在动态交互场景中的应用价值。</w:t>
      </w:r>
    </w:p>
    <w:p w14:paraId="298D4796">
      <w:pPr>
        <w:pStyle w:val="14"/>
        <w:bidi w:val="0"/>
        <w:rPr>
          <w:rFonts w:hint="eastAsia"/>
          <w:lang w:eastAsia="zh-CN"/>
        </w:rPr>
      </w:pPr>
      <w:r>
        <w:rPr>
          <w:rFonts w:hint="eastAsia"/>
          <w:lang w:eastAsia="zh-CN"/>
        </w:rPr>
        <w:t>在俄罗斯方块智能决策算法方面，现有方法主要包括固定启发式算法、搜索算法以及基于神经网络的学习算法。固定启发式算法通常根据孔洞数量、堆叠高度、表面平整度等人工指标对落点进行评分，具有实现简单、运行速度快的优点，但策略较为固定，难以适应复杂对抗场景。搜索算法能够在一定范围内遍历候选动作并选择局部较优方案，但随着棋盘状态和候选动作数量增加，计算开销会显著上升，不利于在实时游戏主循环中稳定运行。基于深度学习的算法能够通过训练获得较强的状态评估能力，但若直接应用于实时对抗系统，仍可能受到模型推理延迟、状态适配性和主线程阻塞等问题影响。</w:t>
      </w:r>
    </w:p>
    <w:p w14:paraId="40609983">
      <w:pPr>
        <w:pStyle w:val="14"/>
        <w:bidi w:val="0"/>
        <w:rPr>
          <w:rFonts w:hint="eastAsia"/>
          <w:lang w:eastAsia="zh-CN"/>
        </w:rPr>
      </w:pPr>
      <w:r>
        <w:rPr>
          <w:rFonts w:hint="eastAsia"/>
          <w:lang w:eastAsia="zh-CN"/>
        </w:rPr>
        <w:t>在同屏或双模式竞技场景中，系统不仅需要完成俄罗斯方块基本规则，还需要同步处理玩家输入、AI决策、棋盘渲染、碰撞检测和对局结算等任务。若AI在每一帧中执行过深的前瞻搜索，可能导致游戏画面卡顿，影响玩家操作体验；若AI仅采用简单规则，又难以体现智能控制和强化学习方法的优势。因此，有必要设计一种兼顾实时性、可运行性和智能决策能力的俄罗斯方块对抗系统，使其既能体现深度Q学习在候选状态评估中的作用，又能通过工程化调度机制保障游戏运行流畅。</w:t>
      </w:r>
    </w:p>
    <w:p w14:paraId="616EBBC5">
      <w:pPr>
        <w:pStyle w:val="14"/>
        <w:bidi w:val="0"/>
        <w:rPr>
          <w:rFonts w:hint="eastAsia"/>
          <w:lang w:eastAsia="zh-CN"/>
        </w:rPr>
      </w:pPr>
      <w:r>
        <w:rPr>
          <w:rFonts w:hint="eastAsia"/>
          <w:lang w:eastAsia="zh-CN"/>
        </w:rPr>
        <w:t>基于上述问题，本文提出一种基于深度Q学习的同屏俄罗斯方块对抗系统及方法。该方法通过低维棋盘特征表示、候选落点状态评估、深度Q网络价值预测和自适应旁路降级机制，将智能决策过程嵌入Pygame游戏主循环中，从而在课程项目实现中验证强化学习算法与实时交互系统结合的可行性。</w:t>
      </w:r>
    </w:p>
    <w:p w14:paraId="23C4A7FE">
      <w:pPr>
        <w:pStyle w:val="14"/>
        <w:bidi w:val="0"/>
        <w:rPr>
          <w:rFonts w:hint="eastAsia"/>
          <w:lang w:eastAsia="zh-CN"/>
        </w:rPr>
      </w:pPr>
    </w:p>
    <w:p w14:paraId="627999A1">
      <w:pPr>
        <w:numPr>
          <w:ilvl w:val="0"/>
          <w:numId w:val="2"/>
        </w:numPr>
        <w:spacing w:line="360" w:lineRule="auto"/>
        <w:textAlignment w:val="center"/>
        <w:outlineLvl w:val="0"/>
        <w:rPr>
          <w:b/>
          <w:color w:val="000000"/>
          <w:sz w:val="24"/>
        </w:rPr>
      </w:pPr>
      <w:r>
        <w:rPr>
          <w:b/>
          <w:color w:val="000000"/>
          <w:sz w:val="24"/>
        </w:rPr>
        <w:t>发明内容</w:t>
      </w:r>
    </w:p>
    <w:p w14:paraId="3F83B1D2">
      <w:pPr>
        <w:pStyle w:val="14"/>
        <w:bidi w:val="0"/>
        <w:rPr>
          <w:rFonts w:hint="default" w:eastAsia="宋体"/>
          <w:lang w:val="en-US" w:eastAsia="zh-CN"/>
        </w:rPr>
      </w:pPr>
      <w:r>
        <w:rPr>
          <w:rFonts w:hint="eastAsia"/>
          <w:lang w:eastAsia="zh-CN"/>
        </w:rPr>
        <w:t>本发明的目的在于提供一种基于深度</w:t>
      </w:r>
      <w:r>
        <w:rPr>
          <w:rFonts w:hint="eastAsia"/>
          <w:lang w:val="en-US" w:eastAsia="zh-CN"/>
        </w:rPr>
        <w:t>Q学习的俄罗斯方块智能对抗方法，用于解决传统启发式策略适应性不足、深度前瞻搜索计算开销较大以及实时游戏对抗中容易出现主线程阻塞的问题。该方法在保留俄罗斯方块基础玩法的前提下引入候选落点状态评估和自适应旁路降级机制，使AI能够根据不同对局模式选择合适的决策强度，从而兼顾智能性和实时性。</w:t>
      </w:r>
    </w:p>
    <w:p w14:paraId="589E88EE">
      <w:pPr>
        <w:pStyle w:val="14"/>
        <w:bidi w:val="0"/>
        <w:rPr>
          <w:rFonts w:hint="eastAsia"/>
          <w:lang w:val="en-US" w:eastAsia="zh-CN"/>
        </w:rPr>
      </w:pPr>
      <w:r>
        <w:rPr>
          <w:rFonts w:hint="eastAsia"/>
          <w:lang w:val="en-US" w:eastAsia="zh-CN"/>
        </w:rPr>
        <w:t>为实现上述目的，本发明采用如下技术方案：</w:t>
      </w:r>
    </w:p>
    <w:p w14:paraId="2F3632B0">
      <w:pPr>
        <w:pStyle w:val="14"/>
        <w:bidi w:val="0"/>
        <w:rPr>
          <w:rFonts w:hint="eastAsia"/>
          <w:b/>
          <w:bCs/>
          <w:lang w:val="en-US" w:eastAsia="zh-CN"/>
        </w:rPr>
      </w:pPr>
      <w:r>
        <w:rPr>
          <w:rFonts w:hint="eastAsia"/>
          <w:b/>
          <w:bCs/>
          <w:lang w:val="en-US" w:eastAsia="zh-CN"/>
        </w:rPr>
        <w:t>步骤一：构建轻量级棋盘状态特征空间。</w:t>
      </w:r>
    </w:p>
    <w:p w14:paraId="76698867">
      <w:pPr>
        <w:pStyle w:val="14"/>
        <w:bidi w:val="0"/>
        <w:rPr>
          <w:rFonts w:hint="eastAsia"/>
          <w:lang w:val="en-US" w:eastAsia="zh-CN"/>
        </w:rPr>
      </w:pPr>
      <w:r>
        <w:rPr>
          <w:rFonts w:hint="eastAsia"/>
          <w:lang w:val="en-US" w:eastAsia="zh-CN"/>
        </w:rPr>
        <w:t>系统实时获取当前游戏棋盘的二维网格数据，从中提取包括天际线高度、孔洞数量、井的深度以及行消除数量在内的环境特征，构建状态特征向量 S</w:t>
      </w:r>
      <w:r>
        <w:rPr>
          <w:rFonts w:hint="eastAsia"/>
          <w:vertAlign w:val="subscript"/>
          <w:lang w:val="en-US" w:eastAsia="zh-CN"/>
        </w:rPr>
        <w:t xml:space="preserve">t </w:t>
      </w:r>
      <w:r>
        <w:rPr>
          <w:rFonts w:hint="eastAsia"/>
          <w:lang w:val="en-US" w:eastAsia="zh-CN"/>
        </w:rPr>
        <w:t>。将高维的动作执行后遗留状态转换并拼接为低维特征向量，所述特征向量的具体表达式为：</w:t>
      </w:r>
    </w:p>
    <w:p w14:paraId="61850E37">
      <w:pPr>
        <w:pStyle w:val="14"/>
        <w:bidi w:val="0"/>
        <w:rPr>
          <w:rFonts w:hAnsi="DejaVu Math TeX Gyre" w:eastAsia="宋体"/>
          <w:i w:val="0"/>
          <w:sz w:val="24"/>
        </w:rPr>
      </w:pPr>
      <m:oMathPara>
        <m:oMath>
          <m:eqArr>
            <m:eqArrPr>
              <m:maxDist m:val="1"/>
              <m:ctrlPr>
                <w:rPr>
                  <w:rFonts w:ascii="DejaVu Math TeX Gyre" w:hAnsi="DejaVu Math TeX Gyre" w:eastAsia="宋体"/>
                  <w:i/>
                  <w:sz w:val="24"/>
                </w:rPr>
              </m:ctrlPr>
            </m:eqArrPr>
            <m:e>
              <m:sSub>
                <m:sSubPr>
                  <m:ctrlPr>
                    <w:rPr>
                      <w:rFonts w:hint="default" w:ascii="DejaVu Math TeX Gyre" w:hAnsi="DejaVu Math TeX Gyre" w:eastAsia="宋体"/>
                      <w:sz w:val="24"/>
                    </w:rPr>
                  </m:ctrlPr>
                </m:sSubPr>
                <m:e>
                  <m:r>
                    <m:rPr/>
                    <w:rPr>
                      <w:rFonts w:hint="default" w:ascii="DejaVu Math TeX Gyre" w:hAnsi="DejaVu Math TeX Gyre" w:eastAsia="宋体"/>
                      <w:sz w:val="24"/>
                    </w:rPr>
                    <m:t>S</m:t>
                  </m:r>
                  <m:ctrlPr>
                    <w:rPr>
                      <w:rFonts w:ascii="DejaVu Math TeX Gyre" w:hAnsi="DejaVu Math TeX Gyre" w:eastAsia="宋体"/>
                      <w:sz w:val="24"/>
                    </w:rPr>
                  </m:ctrlPr>
                </m:e>
                <m:sub>
                  <m:r>
                    <m:rPr/>
                    <w:rPr>
                      <w:rFonts w:hint="default" w:ascii="DejaVu Math TeX Gyre" w:hAnsi="DejaVu Math TeX Gyre" w:eastAsia="宋体"/>
                      <w:sz w:val="24"/>
                    </w:rPr>
                    <m:t>t</m:t>
                  </m:r>
                  <m:ctrlPr>
                    <w:rPr>
                      <w:rFonts w:ascii="DejaVu Math TeX Gyre" w:hAnsi="DejaVu Math TeX Gyre" w:eastAsia="宋体"/>
                      <w:sz w:val="24"/>
                    </w:rPr>
                  </m:ctrlPr>
                </m:sub>
              </m:sSub>
              <m:r>
                <m:rPr/>
                <w:rPr>
                  <w:rFonts w:hint="default" w:ascii="DejaVu Math TeX Gyre" w:hAnsi="DejaVu Math TeX Gyre" w:eastAsia="宋体"/>
                  <w:sz w:val="24"/>
                </w:rPr>
                <m:t>=</m:t>
              </m:r>
              <m:sSup>
                <m:sSupPr>
                  <m:ctrlPr>
                    <w:rPr>
                      <w:rFonts w:hint="default" w:ascii="DejaVu Math TeX Gyre" w:hAnsi="DejaVu Math TeX Gyre" w:eastAsia="宋体"/>
                      <w:sz w:val="24"/>
                    </w:rPr>
                  </m:ctrlPr>
                </m:sSupPr>
                <m:e>
                  <m:d>
                    <m:dPr>
                      <m:begChr m:val="["/>
                      <m:endChr m:val="]"/>
                      <m:ctrlPr>
                        <w:rPr>
                          <w:rFonts w:hint="default" w:ascii="DejaVu Math TeX Gyre" w:hAnsi="DejaVu Math TeX Gyre" w:eastAsia="宋体"/>
                          <w:sz w:val="24"/>
                        </w:rPr>
                      </m:ctrlPr>
                    </m:dPr>
                    <m:e>
                      <m:sSub>
                        <m:sSubPr>
                          <m:ctrlPr>
                            <w:rPr>
                              <w:rFonts w:hint="default" w:ascii="DejaVu Math TeX Gyre" w:hAnsi="DejaVu Math TeX Gyre" w:eastAsia="宋体"/>
                              <w:sz w:val="24"/>
                            </w:rPr>
                          </m:ctrlPr>
                        </m:sSubPr>
                        <m:e>
                          <m:r>
                            <m:rPr/>
                            <w:rPr>
                              <w:rFonts w:hint="default" w:ascii="DejaVu Math TeX Gyre" w:hAnsi="DejaVu Math TeX Gyre" w:eastAsia="宋体"/>
                              <w:sz w:val="24"/>
                            </w:rPr>
                            <m:t>f</m:t>
                          </m:r>
                          <m:ctrlPr>
                            <w:rPr>
                              <w:rFonts w:ascii="DejaVu Math TeX Gyre" w:hAnsi="DejaVu Math TeX Gyre" w:eastAsia="宋体"/>
                              <w:sz w:val="24"/>
                            </w:rPr>
                          </m:ctrlPr>
                        </m:e>
                        <m:sub>
                          <m:r>
                            <m:rPr/>
                            <w:rPr>
                              <w:rFonts w:hint="default" w:ascii="DejaVu Math TeX Gyre" w:hAnsi="DejaVu Math TeX Gyre" w:eastAsia="宋体"/>
                              <w:sz w:val="24"/>
                            </w:rPr>
                            <m:t>L</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f</m:t>
                          </m:r>
                          <m:ctrlPr>
                            <w:rPr>
                              <w:rFonts w:ascii="DejaVu Math TeX Gyre" w:hAnsi="DejaVu Math TeX Gyre" w:eastAsia="宋体"/>
                              <w:sz w:val="24"/>
                            </w:rPr>
                          </m:ctrlPr>
                        </m:e>
                        <m:sub>
                          <m:r>
                            <m:rPr/>
                            <w:rPr>
                              <w:rFonts w:hint="default" w:ascii="DejaVu Math TeX Gyre" w:hAnsi="DejaVu Math TeX Gyre" w:eastAsia="宋体"/>
                              <w:sz w:val="24"/>
                            </w:rPr>
                            <m:t>H</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f</m:t>
                          </m:r>
                          <m:ctrlPr>
                            <w:rPr>
                              <w:rFonts w:ascii="DejaVu Math TeX Gyre" w:hAnsi="DejaVu Math TeX Gyre" w:eastAsia="宋体"/>
                              <w:sz w:val="24"/>
                            </w:rPr>
                          </m:ctrlPr>
                        </m:e>
                        <m:sub>
                          <m:r>
                            <m:rPr/>
                            <w:rPr>
                              <w:rFonts w:hint="default" w:ascii="DejaVu Math TeX Gyre" w:hAnsi="DejaVu Math TeX Gyre" w:eastAsia="宋体"/>
                              <w:sz w:val="24"/>
                            </w:rPr>
                            <m:t>A</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f</m:t>
                          </m:r>
                          <m:ctrlPr>
                            <w:rPr>
                              <w:rFonts w:ascii="DejaVu Math TeX Gyre" w:hAnsi="DejaVu Math TeX Gyre" w:eastAsia="宋体"/>
                              <w:sz w:val="24"/>
                            </w:rPr>
                          </m:ctrlPr>
                        </m:e>
                        <m:sub>
                          <m:r>
                            <m:rPr/>
                            <w:rPr>
                              <w:rFonts w:hint="default" w:ascii="DejaVu Math TeX Gyre" w:hAnsi="DejaVu Math TeX Gyre" w:eastAsia="宋体"/>
                              <w:sz w:val="24"/>
                            </w:rPr>
                            <m:t>B</m:t>
                          </m:r>
                          <m:ctrlPr>
                            <w:rPr>
                              <w:rFonts w:ascii="DejaVu Math TeX Gyre" w:hAnsi="DejaVu Math TeX Gyre" w:eastAsia="宋体"/>
                              <w:sz w:val="24"/>
                            </w:rPr>
                          </m:ctrlPr>
                        </m:sub>
                      </m:sSub>
                      <m:ctrlPr>
                        <w:rPr>
                          <w:rFonts w:hint="default" w:ascii="DejaVu Math TeX Gyre" w:hAnsi="DejaVu Math TeX Gyre" w:eastAsia="宋体"/>
                          <w:sz w:val="24"/>
                        </w:rPr>
                      </m:ctrlPr>
                    </m:e>
                  </m:d>
                  <m:ctrlPr>
                    <w:rPr>
                      <w:rFonts w:hint="default" w:ascii="DejaVu Math TeX Gyre" w:hAnsi="DejaVu Math TeX Gyre" w:eastAsia="宋体"/>
                      <w:sz w:val="24"/>
                    </w:rPr>
                  </m:ctrlPr>
                </m:e>
                <m:sup>
                  <m:r>
                    <m:rPr/>
                    <w:rPr>
                      <w:rFonts w:hint="default" w:ascii="DejaVu Math TeX Gyre" w:hAnsi="DejaVu Math TeX Gyre" w:eastAsia="宋体"/>
                      <w:sz w:val="24"/>
                    </w:rPr>
                    <m:t>T</m:t>
                  </m:r>
                  <m:ctrlPr>
                    <w:rPr>
                      <w:rFonts w:hint="default" w:ascii="DejaVu Math TeX Gyre" w:hAnsi="DejaVu Math TeX Gyre" w:eastAsia="宋体"/>
                      <w:sz w:val="24"/>
                    </w:rPr>
                  </m:ctrlPr>
                </m:sup>
              </m:sSup>
              <m:r>
                <m:rPr>
                  <m:sty m:val="p"/>
                </m:rPr>
                <w:rPr>
                  <w:rFonts w:hint="default" w:ascii="DejaVu Math TeX Gyre" w:hAnsi="DejaVu Math TeX Gyre" w:eastAsia="宋体"/>
                  <w:sz w:val="24"/>
                </w:rPr>
                <m:t>#</m:t>
              </m:r>
              <m:ctrlPr>
                <w:rPr>
                  <w:rFonts w:ascii="DejaVu Math TeX Gyre" w:hAnsi="DejaVu Math TeX Gyre" w:eastAsia="宋体"/>
                  <w:i/>
                  <w:sz w:val="24"/>
                </w:rPr>
              </m:ctrlPr>
            </m:e>
          </m:eqArr>
        </m:oMath>
      </m:oMathPara>
    </w:p>
    <w:p w14:paraId="48BBE75D">
      <w:pPr>
        <w:pStyle w:val="14"/>
        <w:bidi w:val="0"/>
        <w:rPr>
          <w:rFonts w:hint="eastAsia" w:hAnsi="DejaVu Math TeX Gyre"/>
          <w:i w:val="0"/>
          <w:sz w:val="24"/>
          <w:lang w:val="en-US" w:eastAsia="zh-CN"/>
        </w:rPr>
      </w:pPr>
      <w:r>
        <w:rPr>
          <w:rFonts w:hint="eastAsia" w:hAnsi="DejaVu Math TeX Gyre"/>
          <w:i w:val="0"/>
          <w:sz w:val="24"/>
          <w:lang w:eastAsia="zh-CN"/>
        </w:rPr>
        <w:t>其中，</w:t>
      </w:r>
      <w:r>
        <w:rPr>
          <w:rFonts w:hint="eastAsia" w:hAnsi="DejaVu Math TeX Gyre"/>
          <w:i w:val="0"/>
          <w:sz w:val="24"/>
          <w:lang w:val="en-US" w:eastAsia="zh-CN"/>
        </w:rPr>
        <w:t>f</w:t>
      </w:r>
      <w:r>
        <w:rPr>
          <w:rFonts w:hint="eastAsia" w:hAnsi="DejaVu Math TeX Gyre"/>
          <w:i w:val="0"/>
          <w:sz w:val="24"/>
          <w:vertAlign w:val="subscript"/>
          <w:lang w:val="en-US" w:eastAsia="zh-CN"/>
        </w:rPr>
        <w:t>L</w:t>
      </w:r>
      <w:r>
        <w:rPr>
          <w:rFonts w:hint="eastAsia" w:hAnsi="DejaVu Math TeX Gyre"/>
          <w:i w:val="0"/>
          <w:sz w:val="24"/>
          <w:lang w:val="en-US" w:eastAsia="zh-CN"/>
        </w:rPr>
        <w:t>表征行消除数量；f</w:t>
      </w:r>
      <w:r>
        <w:rPr>
          <w:rFonts w:hint="eastAsia" w:hAnsi="DejaVu Math TeX Gyre"/>
          <w:i w:val="0"/>
          <w:sz w:val="24"/>
          <w:vertAlign w:val="subscript"/>
          <w:lang w:val="en-US" w:eastAsia="zh-CN"/>
        </w:rPr>
        <w:t>H</w:t>
      </w:r>
      <w:r>
        <w:rPr>
          <w:rFonts w:hint="eastAsia" w:hAnsi="DejaVu Math TeX Gyre"/>
          <w:i w:val="0"/>
          <w:sz w:val="24"/>
          <w:lang w:val="en-US" w:eastAsia="zh-CN"/>
        </w:rPr>
        <w:t>表征棋盘空洞总数；f</w:t>
      </w:r>
      <w:r>
        <w:rPr>
          <w:rFonts w:hint="eastAsia" w:hAnsi="DejaVu Math TeX Gyre"/>
          <w:i w:val="0"/>
          <w:sz w:val="24"/>
          <w:vertAlign w:val="subscript"/>
          <w:lang w:val="en-US" w:eastAsia="zh-CN"/>
        </w:rPr>
        <w:t>A</w:t>
      </w:r>
      <w:r>
        <w:rPr>
          <w:rFonts w:hint="eastAsia" w:hAnsi="DejaVu Math TeX Gyre"/>
          <w:i w:val="0"/>
          <w:sz w:val="24"/>
          <w:lang w:val="en-US" w:eastAsia="zh-CN"/>
        </w:rPr>
        <w:t>表征列高度的总和；f</w:t>
      </w:r>
      <w:r>
        <w:rPr>
          <w:rFonts w:hint="eastAsia" w:hAnsi="DejaVu Math TeX Gyre"/>
          <w:i w:val="0"/>
          <w:sz w:val="24"/>
          <w:vertAlign w:val="subscript"/>
          <w:lang w:val="en-US" w:eastAsia="zh-CN"/>
        </w:rPr>
        <w:t>B</w:t>
      </w:r>
      <w:r>
        <w:rPr>
          <w:rFonts w:hint="eastAsia" w:hAnsi="DejaVu Math TeX Gyre"/>
          <w:i w:val="0"/>
          <w:sz w:val="24"/>
          <w:lang w:val="en-US" w:eastAsia="zh-CN"/>
        </w:rPr>
        <w:t>表征棋盘表面粗糙度，其计算公式为相邻列高度差的绝对值之和；</w:t>
      </w:r>
    </w:p>
    <w:p w14:paraId="0A24148C">
      <w:pPr>
        <w:pStyle w:val="14"/>
        <w:bidi w:val="0"/>
        <w:rPr>
          <w:rFonts w:hint="default" w:hAnsi="DejaVu Math TeX Gyre" w:eastAsia="宋体"/>
          <w:i w:val="0"/>
          <w:sz w:val="24"/>
          <w:lang w:val="en-US" w:eastAsia="zh-CN"/>
        </w:rPr>
      </w:pP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f</m:t>
            </m:r>
            <m:ctrlPr>
              <w:rPr>
                <w:rFonts w:ascii="DejaVu Math TeX Gyre" w:hAnsi="DejaVu Math TeX Gyre" w:eastAsia="宋体"/>
                <w:sz w:val="24"/>
              </w:rPr>
            </m:ctrlPr>
          </m:e>
          <m:sub>
            <m:r>
              <m:rPr/>
              <w:rPr>
                <w:rFonts w:hint="default" w:ascii="DejaVu Math TeX Gyre" w:hAnsi="DejaVu Math TeX Gyre" w:eastAsia="宋体"/>
                <w:sz w:val="24"/>
              </w:rPr>
              <m:t>B</m:t>
            </m:r>
            <m:ctrlPr>
              <w:rPr>
                <w:rFonts w:ascii="DejaVu Math TeX Gyre" w:hAnsi="DejaVu Math TeX Gyre" w:eastAsia="宋体"/>
                <w:sz w:val="24"/>
              </w:rPr>
            </m:ctrlPr>
          </m:sub>
        </m:sSub>
        <m:r>
          <m:rPr/>
          <w:rPr>
            <w:rFonts w:hint="default" w:ascii="DejaVu Math TeX Gyre" w:hAnsi="DejaVu Math TeX Gyre" w:eastAsia="宋体"/>
            <w:sz w:val="24"/>
          </w:rPr>
          <m:t>=</m:t>
        </m:r>
        <m:nary>
          <m:naryPr>
            <m:chr m:val="∑"/>
            <m:limLoc m:val="subSup"/>
            <m:ctrlPr>
              <w:rPr>
                <w:rFonts w:hint="default" w:ascii="DejaVu Math TeX Gyre" w:hAnsi="DejaVu Math TeX Gyre" w:eastAsia="宋体"/>
                <w:sz w:val="24"/>
              </w:rPr>
            </m:ctrlPr>
          </m:naryPr>
          <m:sub>
            <m:r>
              <m:rPr/>
              <w:rPr>
                <w:rFonts w:hint="default" w:ascii="DejaVu Math TeX Gyre" w:hAnsi="DejaVu Math TeX Gyre" w:eastAsia="宋体"/>
                <w:sz w:val="24"/>
              </w:rPr>
              <m:t>i=1</m:t>
            </m:r>
            <m:ctrlPr>
              <w:rPr>
                <w:rFonts w:ascii="DejaVu Math TeX Gyre" w:hAnsi="DejaVu Math TeX Gyre" w:eastAsia="宋体"/>
                <w:sz w:val="24"/>
              </w:rPr>
            </m:ctrlPr>
          </m:sub>
          <m:sup>
            <m:r>
              <m:rPr/>
              <w:rPr>
                <w:rFonts w:hint="default" w:ascii="DejaVu Math TeX Gyre" w:hAnsi="DejaVu Math TeX Gyre" w:eastAsia="宋体"/>
                <w:sz w:val="24"/>
              </w:rPr>
              <m:t>W−1</m:t>
            </m:r>
            <m:ctrlPr>
              <w:rPr>
                <w:rFonts w:ascii="DejaVu Math TeX Gyre" w:hAnsi="DejaVu Math TeX Gyre" w:eastAsia="宋体"/>
                <w:sz w:val="24"/>
              </w:rPr>
            </m:ctrlPr>
          </m:sup>
          <m:e>
            <m:r>
              <m:rPr/>
              <w:rPr>
                <w:rFonts w:hint="default" w:ascii="DejaVu Math TeX Gyre" w:hAnsi="DejaVu Math TeX Gyre" w:eastAsia="宋体"/>
                <w:sz w:val="24"/>
              </w:rPr>
              <m:t>|</m:t>
            </m:r>
            <m:ctrlPr>
              <w:rPr>
                <w:rFonts w:ascii="DejaVu Math TeX Gyre" w:hAnsi="DejaVu Math TeX Gyre" w:eastAsia="宋体"/>
                <w:sz w:val="24"/>
              </w:rPr>
            </m:ctrlPr>
          </m:e>
        </m:nary>
        <m:sSub>
          <m:sSubPr>
            <m:ctrlPr>
              <w:rPr>
                <w:rFonts w:hint="default" w:ascii="DejaVu Math TeX Gyre" w:hAnsi="DejaVu Math TeX Gyre" w:eastAsia="宋体"/>
                <w:sz w:val="24"/>
              </w:rPr>
            </m:ctrlPr>
          </m:sSubPr>
          <m:e>
            <m:r>
              <m:rPr/>
              <w:rPr>
                <w:rFonts w:hint="default" w:ascii="DejaVu Math TeX Gyre" w:hAnsi="DejaVu Math TeX Gyre" w:eastAsia="宋体"/>
                <w:sz w:val="24"/>
              </w:rPr>
              <m:t>h</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h</m:t>
            </m:r>
            <m:ctrlPr>
              <w:rPr>
                <w:rFonts w:ascii="DejaVu Math TeX Gyre" w:hAnsi="DejaVu Math TeX Gyre" w:eastAsia="宋体"/>
                <w:sz w:val="24"/>
              </w:rPr>
            </m:ctrlPr>
          </m:e>
          <m:sub>
            <m:r>
              <m:rPr/>
              <w:rPr>
                <w:rFonts w:hint="default" w:ascii="DejaVu Math TeX Gyre" w:hAnsi="DejaVu Math TeX Gyre" w:eastAsia="宋体"/>
                <w:sz w:val="24"/>
              </w:rPr>
              <m:t>i+1</m:t>
            </m:r>
            <m:ctrlPr>
              <w:rPr>
                <w:rFonts w:ascii="DejaVu Math TeX Gyre" w:hAnsi="DejaVu Math TeX Gyre" w:eastAsia="宋体"/>
                <w:sz w:val="24"/>
              </w:rPr>
            </m:ctrlPr>
          </m:sub>
        </m:sSub>
        <m:r>
          <m:rPr/>
          <w:rPr>
            <w:rFonts w:hint="default" w:ascii="DejaVu Math TeX Gyre" w:hAnsi="DejaVu Math TeX Gyre" w:eastAsia="宋体"/>
            <w:sz w:val="24"/>
          </w:rPr>
          <m:t>|</m:t>
        </m:r>
      </m:oMath>
      <w:r>
        <w:rPr>
          <w:rFonts w:hint="eastAsia" w:hAnsi="DejaVu Math TeX Gyre"/>
          <w:i w:val="0"/>
          <w:sz w:val="24"/>
          <w:lang w:eastAsia="zh-CN"/>
        </w:rPr>
        <w:t>，其中</w:t>
      </w:r>
      <w:r>
        <w:rPr>
          <w:rFonts w:hint="eastAsia" w:hAnsi="DejaVu Math TeX Gyre"/>
          <w:i w:val="0"/>
          <w:sz w:val="24"/>
          <w:lang w:val="en-US" w:eastAsia="zh-CN"/>
        </w:rPr>
        <w:t>W为棋盘总列数，h</w:t>
      </w:r>
      <w:r>
        <w:rPr>
          <w:rFonts w:hint="eastAsia" w:hAnsi="DejaVu Math TeX Gyre"/>
          <w:i w:val="0"/>
          <w:sz w:val="24"/>
          <w:vertAlign w:val="subscript"/>
          <w:lang w:val="en-US" w:eastAsia="zh-CN"/>
        </w:rPr>
        <w:t>i</w:t>
      </w:r>
      <w:r>
        <w:rPr>
          <w:rFonts w:hint="eastAsia" w:hAnsi="DejaVu Math TeX Gyre"/>
          <w:i w:val="0"/>
          <w:sz w:val="24"/>
          <w:lang w:val="en-US" w:eastAsia="zh-CN"/>
        </w:rPr>
        <w:t>为第i列的最高障碍物相对高度。</w:t>
      </w:r>
    </w:p>
    <w:p w14:paraId="534A77DD">
      <w:pPr>
        <w:pStyle w:val="14"/>
        <w:bidi w:val="0"/>
        <w:rPr>
          <w:rFonts w:hint="eastAsia"/>
          <w:b/>
          <w:bCs/>
          <w:lang w:val="en-US" w:eastAsia="zh-CN"/>
        </w:rPr>
      </w:pPr>
      <w:r>
        <w:rPr>
          <w:rFonts w:hint="eastAsia"/>
          <w:b/>
          <w:bCs/>
          <w:lang w:val="en-US" w:eastAsia="zh-CN"/>
        </w:rPr>
        <w:t>步骤二：构建动作价值反馈评估网络。</w:t>
      </w:r>
    </w:p>
    <w:p w14:paraId="79CC26E1">
      <w:pPr>
        <w:pStyle w:val="14"/>
        <w:bidi w:val="0"/>
        <w:rPr>
          <w:rFonts w:hint="eastAsia"/>
          <w:lang w:val="en-US" w:eastAsia="zh-CN"/>
        </w:rPr>
      </w:pPr>
      <w:r>
        <w:rPr>
          <w:rFonts w:hint="eastAsia"/>
          <w:lang w:val="en-US" w:eastAsia="zh-CN"/>
        </w:rPr>
        <w:t>系统将候选动作执行后的状态特征向量输入预训练的深度Q网络（Deep Q-Network, DQN）。该网络由多层全连接结构（隐藏层维度为 128、128、64）和非线性激活单元组成，用于估计候选落点状态的价值。对于当前状态下的每一个候选动作 a，系统先模拟该动作落子后的后继状态</w:t>
      </w:r>
      <m:oMath>
        <m:sSubSup>
          <m:sSubSupPr>
            <m:ctrlPr>
              <w:rPr>
                <w:rFonts w:hint="default" w:ascii="DejaVu Math TeX Gyre" w:hAnsi="DejaVu Math TeX Gyre"/>
              </w:rPr>
            </m:ctrlPr>
          </m:sSubSupPr>
          <m:e>
            <m:r>
              <m:rPr>
                <m:sty m:val="p"/>
              </m:rPr>
              <w:rPr>
                <w:rFonts w:hint="default"/>
              </w:rPr>
              <m:t>S</m:t>
            </m:r>
            <m:ctrlPr>
              <w:rPr>
                <w:rFonts w:ascii="DejaVu Math TeX Gyre" w:hAnsi="DejaVu Math TeX Gyre"/>
              </w:rPr>
            </m:ctrlPr>
          </m:e>
          <m:sub>
            <m:r>
              <m:rPr>
                <m:sty m:val="p"/>
              </m:rPr>
              <w:rPr>
                <w:rFonts w:hint="default"/>
              </w:rPr>
              <m:t>t+1</m:t>
            </m:r>
            <m:ctrlPr>
              <w:rPr>
                <w:rFonts w:ascii="DejaVu Math TeX Gyre" w:hAnsi="DejaVu Math TeX Gyre"/>
              </w:rPr>
            </m:ctrlPr>
          </m:sub>
          <m:sup>
            <m:r>
              <m:rPr>
                <m:sty m:val="p"/>
              </m:rPr>
              <w:rPr>
                <w:rFonts w:hint="default"/>
              </w:rPr>
              <m:t>(a)</m:t>
            </m:r>
            <m:ctrlPr>
              <w:rPr>
                <w:rFonts w:ascii="DejaVu Math TeX Gyre" w:hAnsi="DejaVu Math TeX Gyre"/>
              </w:rPr>
            </m:ctrlPr>
          </m:sup>
        </m:sSubSup>
      </m:oMath>
      <w:r>
        <w:rPr>
          <w:rFonts w:hint="eastAsia"/>
          <w:lang w:val="en-US" w:eastAsia="zh-CN"/>
        </w:rPr>
        <w:t xml:space="preserve">，再由网络输出对应的价值评估结果 </w:t>
      </w:r>
      <m:oMath>
        <m:r>
          <m:rPr/>
          <w:rPr>
            <w:rFonts w:hint="default" w:ascii="DejaVu Math TeX Gyre" w:hAnsi="DejaVu Math TeX Gyre"/>
            <w:sz w:val="24"/>
          </w:rPr>
          <m:t>V(</m:t>
        </m:r>
        <m:sSubSup>
          <m:sSubSupPr>
            <m:ctrlPr>
              <w:rPr>
                <w:rFonts w:hint="default" w:ascii="DejaVu Math TeX Gyre" w:hAnsi="DejaVu Math TeX Gyre"/>
                <w:sz w:val="24"/>
              </w:rPr>
            </m:ctrlPr>
          </m:sSubSupPr>
          <m:e>
            <m:r>
              <m:rPr/>
              <w:rPr>
                <w:rFonts w:hint="default" w:ascii="DejaVu Math TeX Gyre" w:hAnsi="DejaVu Math TeX Gyre"/>
                <w:sz w:val="24"/>
              </w:rPr>
              <m:t>S</m:t>
            </m:r>
            <m:ctrlPr>
              <w:rPr>
                <w:rFonts w:ascii="DejaVu Math TeX Gyre" w:hAnsi="DejaVu Math TeX Gyre"/>
                <w:sz w:val="24"/>
              </w:rPr>
            </m:ctrlPr>
          </m:e>
          <m:sub>
            <m:r>
              <m:rPr/>
              <w:rPr>
                <w:rFonts w:hint="default" w:ascii="DejaVu Math TeX Gyre" w:hAnsi="DejaVu Math TeX Gyre"/>
                <w:sz w:val="24"/>
              </w:rPr>
              <m:t>t+1</m:t>
            </m:r>
            <m:ctrlPr>
              <w:rPr>
                <w:rFonts w:ascii="DejaVu Math TeX Gyre" w:hAnsi="DejaVu Math TeX Gyre"/>
                <w:sz w:val="24"/>
              </w:rPr>
            </m:ctrlPr>
          </m:sub>
          <m:sup>
            <m:r>
              <m:rPr/>
              <w:rPr>
                <w:rFonts w:hint="default" w:ascii="DejaVu Math TeX Gyre" w:hAnsi="DejaVu Math TeX Gyre"/>
                <w:sz w:val="24"/>
              </w:rPr>
              <m:t>(a)</m:t>
            </m:r>
            <m:ctrlPr>
              <w:rPr>
                <w:rFonts w:ascii="DejaVu Math TeX Gyre" w:hAnsi="DejaVu Math TeX Gyre"/>
                <w:sz w:val="24"/>
              </w:rPr>
            </m:ctrlPr>
          </m:sup>
        </m:sSubSup>
        <m:r>
          <m:rPr/>
          <w:rPr>
            <w:rFonts w:hint="default" w:ascii="DejaVu Math TeX Gyre" w:hAnsi="DejaVu Math TeX Gyre"/>
            <w:sz w:val="24"/>
          </w:rPr>
          <m:t>;θ</m:t>
        </m:r>
      </m:oMath>
      <w:r>
        <w:rPr>
          <w:rFonts w:hint="eastAsia" w:hAnsi="DejaVu Math TeX Gyre"/>
          <w:i w:val="0"/>
          <w:sz w:val="24"/>
          <w:lang w:val="en-US" w:eastAsia="zh-CN"/>
        </w:rPr>
        <w:t>)</w:t>
      </w:r>
      <w:r>
        <w:rPr>
          <w:rFonts w:hint="eastAsia"/>
          <w:lang w:val="en-US" w:eastAsia="zh-CN"/>
        </w:rPr>
        <w:t>，其中 θ 表示深度Q网络的参数。</w:t>
      </w:r>
    </w:p>
    <w:p w14:paraId="1398A0B0">
      <w:pPr>
        <w:pStyle w:val="14"/>
        <w:bidi w:val="0"/>
        <w:rPr>
          <w:rFonts w:hint="eastAsia"/>
          <w:b/>
          <w:bCs/>
          <w:lang w:eastAsia="zh-CN"/>
        </w:rPr>
      </w:pPr>
      <w:r>
        <w:rPr>
          <w:rFonts w:hint="eastAsia"/>
          <w:b/>
          <w:bCs/>
        </w:rPr>
        <w:t>步骤三</w:t>
      </w:r>
      <w:r>
        <w:rPr>
          <w:rFonts w:hint="eastAsia"/>
          <w:b/>
          <w:bCs/>
          <w:lang w:eastAsia="zh-CN"/>
        </w:rPr>
        <w:t>：</w:t>
      </w:r>
      <w:r>
        <w:rPr>
          <w:rFonts w:hint="eastAsia"/>
          <w:b/>
          <w:bCs/>
        </w:rPr>
        <w:t>构建基于前瞻权重因子的自适应旁路降级机制</w:t>
      </w:r>
      <w:r>
        <w:rPr>
          <w:rFonts w:hint="eastAsia"/>
          <w:b/>
          <w:bCs/>
          <w:lang w:eastAsia="zh-CN"/>
        </w:rPr>
        <w:t>。</w:t>
      </w:r>
    </w:p>
    <w:p w14:paraId="63E19923">
      <w:pPr>
        <w:pStyle w:val="14"/>
        <w:bidi w:val="0"/>
      </w:pPr>
      <w:r>
        <w:rPr>
          <w:rFonts w:hint="eastAsia"/>
          <w:lang w:eastAsia="zh-CN"/>
        </w:rPr>
        <w:t xml:space="preserve"> 系统实时获取当前对局模式的配置参数，并提取前瞻评估权值（lookahead_weight，记为α）。</w:t>
      </w:r>
      <w:r>
        <w:t>当系统允许进行较深层次预测时，目标评估函数可表示为：</w:t>
      </w:r>
    </w:p>
    <w:p w14:paraId="301BBA1D">
      <w:pPr>
        <w:pStyle w:val="14"/>
        <w:bidi w:val="0"/>
        <w:rPr>
          <w:rFonts w:hint="eastAsia" w:hAnsi="DejaVu Math TeX Gyre" w:eastAsia="宋体" w:cs="Times New Roman"/>
          <w:i w:val="0"/>
          <w:kern w:val="2"/>
          <w:sz w:val="24"/>
          <w:szCs w:val="24"/>
          <w:lang w:val="en-US" w:eastAsia="zh-CN" w:bidi="ar-SA"/>
        </w:rPr>
      </w:pPr>
      <m:oMathPara>
        <m:oMath>
          <m:r>
            <m:rPr/>
            <w:rPr>
              <w:rFonts w:hint="default" w:ascii="DejaVu Math TeX Gyre" w:hAnsi="DejaVu Math TeX Gyre" w:eastAsia="宋体"/>
              <w:sz w:val="24"/>
            </w:rPr>
            <m:t>E(a)=V(</m:t>
          </m:r>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S</m:t>
              </m:r>
              <m:ctrlPr>
                <w:rPr>
                  <w:rFonts w:ascii="DejaVu Math TeX Gyre" w:hAnsi="DejaVu Math TeX Gyre" w:eastAsia="宋体"/>
                  <w:sz w:val="24"/>
                </w:rPr>
              </m:ctrlPr>
            </m:e>
            <m:sub>
              <m:r>
                <m:rPr/>
                <w:rPr>
                  <w:rFonts w:hint="default" w:ascii="DejaVu Math TeX Gyre" w:hAnsi="DejaVu Math TeX Gyre" w:eastAsia="宋体"/>
                  <w:sz w:val="24"/>
                </w:rPr>
                <m:t>t+1</m:t>
              </m:r>
              <m:ctrlPr>
                <w:rPr>
                  <w:rFonts w:ascii="DejaVu Math TeX Gyre" w:hAnsi="DejaVu Math TeX Gyre" w:eastAsia="宋体"/>
                  <w:sz w:val="24"/>
                </w:rPr>
              </m:ctrlPr>
            </m:sub>
            <m:sup>
              <m:r>
                <m:rPr/>
                <w:rPr>
                  <w:rFonts w:hint="default" w:ascii="DejaVu Math TeX Gyre" w:hAnsi="DejaVu Math TeX Gyre" w:eastAsia="宋体"/>
                  <w:sz w:val="24"/>
                </w:rPr>
                <m:t>(a)</m:t>
              </m:r>
              <m:ctrlPr>
                <w:rPr>
                  <w:rFonts w:ascii="DejaVu Math TeX Gyre" w:hAnsi="DejaVu Math TeX Gyre" w:eastAsia="宋体"/>
                  <w:sz w:val="24"/>
                </w:rPr>
              </m:ctrlPr>
            </m:sup>
          </m:sSubSup>
          <m:r>
            <m:rPr/>
            <w:rPr>
              <w:rFonts w:hint="default" w:ascii="DejaVu Math TeX Gyre" w:hAnsi="DejaVu Math TeX Gyre" w:eastAsia="宋体"/>
              <w:sz w:val="24"/>
            </w:rPr>
            <m:t>;θ)+α⋅</m:t>
          </m:r>
          <m:func>
            <m:funcPr>
              <m:ctrlPr>
                <w:rPr>
                  <w:rFonts w:hint="default" w:ascii="DejaVu Math TeX Gyre" w:hAnsi="DejaVu Math TeX Gyre" w:eastAsia="宋体"/>
                  <w:sz w:val="24"/>
                </w:rPr>
              </m:ctrlPr>
            </m:funcPr>
            <m:fName>
              <m:limLow>
                <m:limLowPr>
                  <m:ctrlPr>
                    <w:rPr>
                      <w:rFonts w:hint="default" w:ascii="DejaVu Math TeX Gyre" w:hAnsi="DejaVu Math TeX Gyre" w:eastAsia="宋体"/>
                      <w:sz w:val="24"/>
                    </w:rPr>
                  </m:ctrlPr>
                </m:limLowPr>
                <m:e>
                  <m:r>
                    <m:rPr>
                      <m:sty m:val="p"/>
                    </m:rPr>
                    <w:rPr>
                      <w:rFonts w:hint="default" w:ascii="DejaVu Math TeX Gyre" w:hAnsi="DejaVu Math TeX Gyre" w:eastAsia="宋体"/>
                      <w:sz w:val="24"/>
                    </w:rPr>
                    <m:t>max</m:t>
                  </m:r>
                  <m:ctrlPr>
                    <w:rPr>
                      <w:rFonts w:ascii="DejaVu Math TeX Gyre" w:hAnsi="DejaVu Math TeX Gyre" w:eastAsia="宋体"/>
                      <w:sz w:val="24"/>
                    </w:rPr>
                  </m:ctrlPr>
                </m:e>
                <m:lim>
                  <m:r>
                    <m:rPr/>
                    <w:rPr>
                      <w:rFonts w:hint="default" w:ascii="DejaVu Math TeX Gyre" w:hAnsi="DejaVu Math TeX Gyre" w:eastAsia="宋体"/>
                      <w:sz w:val="24"/>
                    </w:rPr>
                    <m:t>a'∈A'</m:t>
                  </m:r>
                  <m:ctrlPr>
                    <w:rPr>
                      <w:rFonts w:ascii="DejaVu Math TeX Gyre" w:hAnsi="DejaVu Math TeX Gyre" w:eastAsia="宋体"/>
                      <w:sz w:val="24"/>
                    </w:rPr>
                  </m:ctrlPr>
                </m:lim>
              </m:limLow>
              <m:ctrlPr>
                <w:rPr>
                  <w:rFonts w:hint="default" w:ascii="DejaVu Math TeX Gyre" w:hAnsi="DejaVu Math TeX Gyre" w:eastAsia="宋体"/>
                  <w:sz w:val="24"/>
                </w:rPr>
              </m:ctrlPr>
            </m:fName>
            <m:e>
              <m:r>
                <m:rPr/>
                <w:rPr>
                  <w:rFonts w:hint="default" w:ascii="DejaVu Math TeX Gyre" w:hAnsi="DejaVu Math TeX Gyre" w:eastAsia="宋体"/>
                  <w:sz w:val="24"/>
                </w:rPr>
                <m:t>V</m:t>
              </m:r>
              <m:ctrlPr>
                <w:rPr>
                  <w:rFonts w:hint="default" w:ascii="DejaVu Math TeX Gyre" w:hAnsi="DejaVu Math TeX Gyre" w:eastAsia="宋体"/>
                  <w:sz w:val="24"/>
                </w:rPr>
              </m:ctrlPr>
            </m:e>
          </m:func>
          <m:r>
            <m:rPr/>
            <w:rPr>
              <w:rFonts w:hint="default" w:ascii="DejaVu Math TeX Gyre" w:hAnsi="DejaVu Math TeX Gyre" w:eastAsia="宋体"/>
              <w:sz w:val="24"/>
            </w:rPr>
            <m:t>(</m:t>
          </m:r>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S</m:t>
              </m:r>
              <m:ctrlPr>
                <w:rPr>
                  <w:rFonts w:hint="default" w:ascii="DejaVu Math TeX Gyre" w:hAnsi="DejaVu Math TeX Gyre" w:eastAsia="宋体"/>
                  <w:sz w:val="24"/>
                </w:rPr>
              </m:ctrlPr>
            </m:e>
            <m:sub>
              <m:r>
                <m:rPr/>
                <w:rPr>
                  <w:rFonts w:hint="default" w:ascii="DejaVu Math TeX Gyre" w:hAnsi="DejaVu Math TeX Gyre" w:eastAsia="宋体"/>
                  <w:sz w:val="24"/>
                </w:rPr>
                <m:t>t+2</m:t>
              </m:r>
              <m:ctrlPr>
                <w:rPr>
                  <w:rFonts w:hint="default" w:ascii="DejaVu Math TeX Gyre" w:hAnsi="DejaVu Math TeX Gyre" w:eastAsia="宋体"/>
                  <w:sz w:val="24"/>
                </w:rPr>
              </m:ctrlPr>
            </m:sub>
            <m:sup>
              <m:r>
                <m:rPr/>
                <w:rPr>
                  <w:rFonts w:hint="default" w:ascii="DejaVu Math TeX Gyre" w:hAnsi="DejaVu Math TeX Gyre" w:eastAsia="宋体"/>
                  <w:sz w:val="24"/>
                </w:rPr>
                <m:t>(a,a')</m:t>
              </m:r>
              <m:ctrlPr>
                <w:rPr>
                  <w:rFonts w:hint="default" w:ascii="DejaVu Math TeX Gyre" w:hAnsi="DejaVu Math TeX Gyre" w:eastAsia="宋体"/>
                  <w:sz w:val="24"/>
                </w:rPr>
              </m:ctrlPr>
            </m:sup>
          </m:sSubSup>
          <m:r>
            <m:rPr/>
            <w:rPr>
              <w:rFonts w:hint="default" w:ascii="DejaVu Math TeX Gyre" w:hAnsi="DejaVu Math TeX Gyre" w:eastAsia="宋体"/>
              <w:sz w:val="24"/>
            </w:rPr>
            <m:t>;θ)</m:t>
          </m:r>
        </m:oMath>
      </m:oMathPara>
    </w:p>
    <w:p w14:paraId="2F25D045">
      <w:pPr>
        <w:pStyle w:val="14"/>
        <w:bidi w:val="0"/>
        <w:rPr>
          <w:rFonts w:hint="eastAsia" w:hAnsi="DejaVu Math TeX Gyre" w:eastAsia="宋体" w:cs="Times New Roman"/>
          <w:i w:val="0"/>
          <w:kern w:val="2"/>
          <w:sz w:val="24"/>
          <w:szCs w:val="24"/>
          <w:lang w:val="en-US" w:eastAsia="zh-CN" w:bidi="ar-SA"/>
        </w:rPr>
      </w:pPr>
    </w:p>
    <w:p w14:paraId="550C1DCC">
      <w:pPr>
        <w:pStyle w:val="14"/>
        <w:bidi w:val="0"/>
      </w:pPr>
      <w:r>
        <w:rPr>
          <w:rFonts w:hint="eastAsia"/>
          <w:lang w:eastAsia="zh-CN"/>
        </w:rPr>
        <w:t>式中，</w:t>
      </w:r>
      <w:r>
        <w:rPr>
          <w:rFonts w:hint="eastAsia"/>
          <w:lang w:val="en-US" w:eastAsia="zh-CN"/>
        </w:rPr>
        <w:t>A</w:t>
      </w:r>
      <w:r>
        <w:rPr>
          <w:rFonts w:hint="default"/>
          <w:lang w:val="en-US" w:eastAsia="zh-CN"/>
        </w:rPr>
        <w:t>’</w:t>
      </w:r>
      <w:r>
        <w:rPr>
          <w:rFonts w:hint="eastAsia"/>
          <w:lang w:val="en-US" w:eastAsia="zh-CN"/>
        </w:rPr>
        <w:t>为在动作a基础上的下一级候选动作集；</w:t>
      </w:r>
      <m:oMath>
        <m:sSubSup>
          <m:sSubSupPr>
            <m:ctrlPr>
              <w:rPr>
                <w:rFonts w:hint="default" w:ascii="DejaVu Math TeX Gyre" w:hAnsi="DejaVu Math TeX Gyre"/>
              </w:rPr>
            </m:ctrlPr>
          </m:sSubSupPr>
          <m:e>
            <m:r>
              <m:rPr>
                <m:sty m:val="p"/>
              </m:rPr>
              <w:rPr>
                <w:rFonts w:hint="default"/>
              </w:rPr>
              <m:t>S</m:t>
            </m:r>
            <m:ctrlPr>
              <w:rPr>
                <w:rFonts w:ascii="DejaVu Math TeX Gyre" w:hAnsi="DejaVu Math TeX Gyre"/>
              </w:rPr>
            </m:ctrlPr>
          </m:e>
          <m:sub>
            <m:r>
              <m:rPr>
                <m:sty m:val="p"/>
              </m:rPr>
              <w:rPr>
                <w:rFonts w:hint="default"/>
              </w:rPr>
              <m:t>t+2</m:t>
            </m:r>
            <m:ctrlPr>
              <w:rPr>
                <w:rFonts w:ascii="DejaVu Math TeX Gyre" w:hAnsi="DejaVu Math TeX Gyre"/>
              </w:rPr>
            </m:ctrlPr>
          </m:sub>
          <m:sup>
            <m:r>
              <m:rPr>
                <m:sty m:val="p"/>
              </m:rPr>
              <w:rPr>
                <w:rFonts w:hint="default"/>
              </w:rPr>
              <m:t>(a,a')</m:t>
            </m:r>
            <m:ctrlPr>
              <w:rPr>
                <w:rFonts w:ascii="DejaVu Math TeX Gyre" w:hAnsi="DejaVu Math TeX Gyre"/>
              </w:rPr>
            </m:ctrlPr>
          </m:sup>
        </m:sSubSup>
      </m:oMath>
      <w:r>
        <w:rPr>
          <w:rFonts w:hint="eastAsia"/>
          <w:lang w:eastAsia="zh-CN"/>
        </w:rPr>
        <w:t>为连续应用动作</w:t>
      </w:r>
      <w:r>
        <w:rPr>
          <w:rFonts w:hint="eastAsia"/>
          <w:lang w:val="en-US" w:eastAsia="zh-CN"/>
        </w:rPr>
        <w:t>a和a</w:t>
      </w:r>
      <w:r>
        <w:rPr>
          <w:rFonts w:hint="default"/>
          <w:lang w:val="en-US" w:eastAsia="zh-CN"/>
        </w:rPr>
        <w:t>’</w:t>
      </w:r>
      <w:r>
        <w:rPr>
          <w:rFonts w:hint="eastAsia"/>
          <w:lang w:val="en-US" w:eastAsia="zh-CN"/>
        </w:rPr>
        <w:t>后的二级预测后继状态。</w:t>
      </w:r>
      <w:r>
        <w:t>该方式能够在一定程度上考虑后续方块对整体局面的影响。</w:t>
      </w:r>
    </w:p>
    <w:p w14:paraId="55BA4865">
      <w:pPr>
        <w:pStyle w:val="14"/>
        <w:bidi w:val="0"/>
        <w:rPr>
          <w:rFonts w:hint="eastAsia" w:hAnsi="DejaVu Math TeX Gyre"/>
          <w:i w:val="0"/>
          <w:sz w:val="24"/>
          <w:lang w:val="en-US" w:eastAsia="zh-CN"/>
        </w:rPr>
      </w:pPr>
    </w:p>
    <w:p w14:paraId="05A101ED">
      <w:pPr>
        <w:pStyle w:val="14"/>
        <w:bidi w:val="0"/>
        <w:rPr>
          <w:rFonts w:hint="eastAsia" w:hAnsi="DejaVu Math TeX Gyre"/>
          <w:i w:val="0"/>
          <w:sz w:val="24"/>
          <w:lang w:eastAsia="zh-CN"/>
        </w:rPr>
      </w:pPr>
      <w:r>
        <w:rPr>
          <w:rFonts w:hint="eastAsia" w:hAnsi="DejaVu Math TeX Gyre"/>
          <w:i w:val="0"/>
          <w:sz w:val="24"/>
          <w:lang w:val="en-US" w:eastAsia="zh-CN"/>
        </w:rPr>
        <w:t>此外，</w:t>
      </w:r>
      <w:r>
        <w:rPr>
          <w:sz w:val="24"/>
        </w:rPr>
        <w:t>当系统检测到当前模式对响应速度要求较高，或前瞻权重</w:t>
      </w:r>
      <m:oMath>
        <m:r>
          <m:rPr/>
          <w:rPr>
            <w:rFonts w:hint="default" w:ascii="DejaVu Math TeX Gyre" w:hAnsi="DejaVu Math TeX Gyre"/>
            <w:sz w:val="24"/>
          </w:rPr>
          <m:t>α≤0</m:t>
        </m:r>
      </m:oMath>
      <w:r>
        <w:rPr>
          <w:rFonts w:hint="eastAsia" w:hAnsi="DejaVu Math TeX Gyre"/>
          <w:i w:val="0"/>
          <w:sz w:val="24"/>
          <w:lang w:eastAsia="zh-CN"/>
        </w:rPr>
        <w:t>时，决策控制器主动触发旁路逻辑，强制跳过对包含下一落块在内的未来全量状态遍历预测子过程，令目标函数直接退化为极简计算范式：</w:t>
      </w:r>
    </w:p>
    <w:p w14:paraId="77373823">
      <w:pPr>
        <w:pStyle w:val="14"/>
        <w:bidi w:val="0"/>
        <w:rPr>
          <w:rFonts w:hint="default" w:hAnsi="DejaVu Math TeX Gyre" w:eastAsia="宋体" w:cs="Times New Roman"/>
          <w:i w:val="0"/>
          <w:kern w:val="2"/>
          <w:sz w:val="24"/>
          <w:szCs w:val="24"/>
          <w:lang w:val="en-US" w:eastAsia="zh-CN" w:bidi="ar-SA"/>
        </w:rPr>
      </w:pPr>
      <m:oMathPara>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E</m:t>
              </m:r>
              <m:ctrlPr>
                <w:rPr>
                  <w:rFonts w:ascii="DejaVu Math TeX Gyre" w:hAnsi="DejaVu Math TeX Gyre" w:eastAsia="宋体"/>
                  <w:sz w:val="24"/>
                </w:rPr>
              </m:ctrlPr>
            </m:e>
            <m:sub>
              <m:r>
                <m:rPr/>
                <w:rPr>
                  <w:rFonts w:hint="default" w:ascii="DejaVu Math TeX Gyre" w:hAnsi="DejaVu Math TeX Gyre" w:eastAsia="宋体"/>
                  <w:sz w:val="24"/>
                </w:rPr>
                <m:t>bypass</m:t>
              </m:r>
              <m:ctrlPr>
                <w:rPr>
                  <w:rFonts w:ascii="DejaVu Math TeX Gyre" w:hAnsi="DejaVu Math TeX Gyre" w:eastAsia="宋体"/>
                  <w:sz w:val="24"/>
                </w:rPr>
              </m:ctrlPr>
            </m:sub>
          </m:sSub>
          <m:r>
            <m:rPr/>
            <w:rPr>
              <w:rFonts w:hint="default" w:ascii="DejaVu Math TeX Gyre" w:hAnsi="DejaVu Math TeX Gyre" w:eastAsia="宋体"/>
              <w:sz w:val="24"/>
            </w:rPr>
            <m:t>(a)=V(</m:t>
          </m:r>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S</m:t>
              </m:r>
              <m:ctrlPr>
                <w:rPr>
                  <w:rFonts w:ascii="DejaVu Math TeX Gyre" w:hAnsi="DejaVu Math TeX Gyre" w:eastAsia="宋体"/>
                  <w:sz w:val="24"/>
                </w:rPr>
              </m:ctrlPr>
            </m:e>
            <m:sub>
              <m:r>
                <m:rPr/>
                <w:rPr>
                  <w:rFonts w:hint="default" w:ascii="DejaVu Math TeX Gyre" w:hAnsi="DejaVu Math TeX Gyre" w:eastAsia="宋体"/>
                  <w:sz w:val="24"/>
                </w:rPr>
                <m:t>t+1</m:t>
              </m:r>
              <m:ctrlPr>
                <w:rPr>
                  <w:rFonts w:ascii="DejaVu Math TeX Gyre" w:hAnsi="DejaVu Math TeX Gyre" w:eastAsia="宋体"/>
                  <w:sz w:val="24"/>
                </w:rPr>
              </m:ctrlPr>
            </m:sub>
            <m:sup>
              <m:r>
                <m:rPr/>
                <w:rPr>
                  <w:rFonts w:hint="default" w:ascii="DejaVu Math TeX Gyre" w:hAnsi="DejaVu Math TeX Gyre" w:eastAsia="宋体"/>
                  <w:sz w:val="24"/>
                </w:rPr>
                <m:t>(a)</m:t>
              </m:r>
              <m:ctrlPr>
                <w:rPr>
                  <w:rFonts w:ascii="DejaVu Math TeX Gyre" w:hAnsi="DejaVu Math TeX Gyre" w:eastAsia="宋体"/>
                  <w:sz w:val="24"/>
                </w:rPr>
              </m:ctrlPr>
            </m:sup>
          </m:sSubSup>
          <m:r>
            <m:rPr/>
            <w:rPr>
              <w:rFonts w:hint="default" w:ascii="DejaVu Math TeX Gyre" w:hAnsi="DejaVu Math TeX Gyre" w:eastAsia="宋体"/>
              <w:sz w:val="24"/>
            </w:rPr>
            <m:t>;θ)</m:t>
          </m:r>
        </m:oMath>
      </m:oMathPara>
    </w:p>
    <w:p w14:paraId="79DC93A1">
      <w:pPr>
        <w:pStyle w:val="14"/>
        <w:bidi w:val="0"/>
        <w:rPr>
          <w:rFonts w:hint="default" w:hAnsi="DejaVu Math TeX Gyre" w:cs="Times New Roman"/>
          <w:i w:val="0"/>
          <w:kern w:val="2"/>
          <w:sz w:val="24"/>
          <w:szCs w:val="24"/>
          <w:lang w:val="en-US" w:eastAsia="zh-CN" w:bidi="ar-SA"/>
        </w:rPr>
      </w:pPr>
      <w:r>
        <w:rPr>
          <w:sz w:val="24"/>
        </w:rPr>
        <w:t>该机制将原本可能涉及二级候选展开的计算过程简化为单层候选评估，将单步动作寻优的时间复杂度从</w:t>
      </w:r>
      <m:oMath>
        <m:r>
          <m:rPr/>
          <w:rPr>
            <w:rFonts w:hint="default" w:ascii="DejaVu Math TeX Gyre" w:hAnsi="DejaVu Math TeX Gyre"/>
            <w:sz w:val="24"/>
          </w:rPr>
          <m:t>O(|A|×|A'|)</m:t>
        </m:r>
      </m:oMath>
      <w:r>
        <w:rPr>
          <w:rFonts w:hint="eastAsia" w:hAnsi="DejaVu Math TeX Gyre"/>
          <w:i w:val="0"/>
          <w:sz w:val="24"/>
          <w:lang w:eastAsia="zh-CN"/>
        </w:rPr>
        <w:t>降至</w:t>
      </w:r>
      <m:oMath>
        <m:r>
          <m:rPr/>
          <w:rPr>
            <w:rFonts w:hint="default" w:ascii="DejaVu Math TeX Gyre" w:hAnsi="DejaVu Math TeX Gyre" w:cs="Times New Roman"/>
            <w:kern w:val="2"/>
            <w:sz w:val="24"/>
            <w:szCs w:val="24"/>
            <w:lang w:val="en-US" w:eastAsia="zh-CN" w:bidi="ar-SA"/>
          </w:rPr>
          <m:t>O(|A|</m:t>
        </m:r>
      </m:oMath>
      <w:r>
        <w:rPr>
          <w:rFonts w:hint="eastAsia" w:hAnsi="DejaVu Math TeX Gyre" w:cs="Times New Roman"/>
          <w:i w:val="0"/>
          <w:kern w:val="2"/>
          <w:sz w:val="24"/>
          <w:szCs w:val="24"/>
          <w:lang w:val="en-US" w:eastAsia="zh-CN" w:bidi="ar-SA"/>
        </w:rPr>
        <w:t>)，</w:t>
      </w:r>
      <w:r>
        <w:rPr>
          <w:rFonts w:hint="eastAsia" w:hAnsi="DejaVu Math TeX Gyre"/>
          <w:i w:val="0"/>
          <w:sz w:val="24"/>
          <w:lang w:val="en-US" w:eastAsia="zh-CN"/>
        </w:rPr>
        <w:t>计算耗时由百毫秒级压缩至毫秒级常数范围，</w:t>
      </w:r>
      <w:r>
        <w:rPr>
          <w:sz w:val="24"/>
        </w:rPr>
        <w:t>从而在算法层面有效缓解高频竞技要求下的主线程阻塞与渲染卡顿问题。对于高频对抗模式（如经典双屏对战），该机制能够优先保障响应速度；对于需要更充分规划的模式（如同屏竞技），则可保留一定前瞻能力。</w:t>
      </w:r>
    </w:p>
    <w:p w14:paraId="538A426B">
      <w:pPr>
        <w:pStyle w:val="14"/>
        <w:bidi w:val="0"/>
        <w:rPr>
          <w:rFonts w:hint="eastAsia"/>
          <w:b/>
          <w:bCs/>
          <w:lang w:eastAsia="zh-CN"/>
        </w:rPr>
      </w:pPr>
      <w:r>
        <w:rPr>
          <w:rFonts w:hint="eastAsia"/>
          <w:b/>
          <w:bCs/>
        </w:rPr>
        <w:t>步骤四、执行基于多模式隔离的竞技帧同步调度</w:t>
      </w:r>
      <w:r>
        <w:rPr>
          <w:rFonts w:hint="eastAsia"/>
          <w:b/>
          <w:bCs/>
          <w:lang w:eastAsia="zh-CN"/>
        </w:rPr>
        <w:t>。</w:t>
      </w:r>
    </w:p>
    <w:p w14:paraId="2314ABAD">
      <w:pPr>
        <w:pStyle w:val="14"/>
        <w:bidi w:val="0"/>
      </w:pPr>
      <w:r>
        <w:t>系统根据当前对局模式配置AI控制器参数，并在Pygame主循环中统一调度玩家输入、AI决策、棋盘更新和画面渲染。玩家输入通过非阻塞事件机制读取，AI决策根据设定的动作间隔（action_interval_ms）和前瞻权重（α）生成控制指令，双方状态在固定帧率（60 FPS）下同步更新。</w:t>
      </w:r>
    </w:p>
    <w:p w14:paraId="08F540FF">
      <w:pPr>
        <w:pStyle w:val="14"/>
        <w:bidi w:val="0"/>
      </w:pPr>
      <w:r>
        <w:t>在项目实现中，系统支持经典双屏对战和同屏竞技两种模式。经典模式下，玩家与AI在左右两个独立棋盘中使用同步方块序列进行对战，前瞻权重 α 设为0以触发旁路降级，保障输入响应流畅；同屏竞技模式下，玩家与AI在同一25×25共享棋盘空间内进行推挤式竞争，系统可配置较高的前瞻权重以保留模型的前瞻评估能力。不同模式通过调整AI动作间隔、错误率、模型启用策略和前瞻权重，实现规则隔离和策略适配，从而在保持交互流畅的同时展示深度Q学习方法在游戏智能控制中的应用效果。</w:t>
      </w:r>
    </w:p>
    <w:p w14:paraId="5F826195">
      <w:pPr>
        <w:pStyle w:val="14"/>
        <w:bidi w:val="0"/>
        <w:rPr>
          <w:rFonts w:hint="eastAsia" w:eastAsia="宋体"/>
          <w:b/>
          <w:bCs/>
          <w:lang w:eastAsia="zh-CN"/>
        </w:rPr>
      </w:pPr>
      <w:r>
        <w:rPr>
          <w:rFonts w:hint="eastAsia"/>
          <w:b/>
          <w:bCs/>
          <w:lang w:eastAsia="zh-CN"/>
        </w:rPr>
        <w:t>有益效果</w:t>
      </w:r>
    </w:p>
    <w:p w14:paraId="1431861F">
      <w:pPr>
        <w:pStyle w:val="14"/>
        <w:bidi w:val="0"/>
        <w:rPr>
          <w:rFonts w:hint="eastAsia"/>
          <w:lang w:eastAsia="zh-CN"/>
        </w:rPr>
      </w:pPr>
      <w:r>
        <w:rPr>
          <w:rFonts w:hint="eastAsia"/>
          <w:lang w:eastAsia="zh-CN"/>
        </w:rPr>
        <w:t>与现有技术相比，本发明具有以下有益效果：</w:t>
      </w:r>
    </w:p>
    <w:p w14:paraId="29DFBF12">
      <w:pPr>
        <w:pStyle w:val="14"/>
        <w:bidi w:val="0"/>
      </w:pPr>
      <w:r>
        <w:t>第一，本发明能够提升AI决策过程的实时性。通过设置基于前瞻权重的自适应旁路降级机制，系统可在高频交互模式下跳过计算量较大的二级候选遍历，将AI决策控制在更短时间内完成，从而降低主线程阻塞和画面卡顿的概率。实验表明，在经典模式下采用旁路降级后，AI单次寻优耗时由约141.684毫秒降至约2.075毫秒，降幅达98.5%以上，显著缓解了实时对抗中的延迟问题。</w:t>
      </w:r>
    </w:p>
    <w:p w14:paraId="4686D9CB">
      <w:pPr>
        <w:pStyle w:val="14"/>
        <w:bidi w:val="0"/>
      </w:pPr>
      <w:r>
        <w:t>第二，本发明增强了同一AI决策框架在不同模式下的适配能力。系统不需要为每一种对局模式重新设计完整算法，而是通过调整前瞻权重、动作间隔和控制参数，在“快速响应”和“适度前瞻”之间进行切换，使AI策略更适合课程项目中的多模式俄罗斯方块对抗场景。</w:t>
      </w:r>
    </w:p>
    <w:p w14:paraId="3B3D02FA">
      <w:pPr>
        <w:pStyle w:val="14"/>
        <w:bidi w:val="0"/>
      </w:pPr>
      <w:r>
        <w:t>第三，本发明将深度Q学习模型与工程化游戏系统进行了结合。候选落点状态先经过特征提取和模拟，再输入深度Q网络进行价值评估，既避免了直接处理高维图像输入带来的计算负担，也能够体现强化学习模型在状态评估中的作用。该混合决策架构使AI同时具备启发式方法的稳定性和学习模型的适应性。</w:t>
      </w:r>
    </w:p>
    <w:p w14:paraId="01D67A43">
      <w:pPr>
        <w:pStyle w:val="14"/>
        <w:bidi w:val="0"/>
      </w:pPr>
      <w:r>
        <w:t>第四，本发明具有较好的课程实践可验证性。系统包含可运行的Pygame游戏界面、AI控制模块、训练曲线、模型推理和实机对抗效果图，能够从代码实现、实验结果和演示界面三个方面说明方案的可行性。同时，系统提供的三种AI难度等级（简单/普通/困难）和可视化对抗界面，便于在教学和演示场景中直观展示算法效果。</w:t>
      </w:r>
    </w:p>
    <w:p w14:paraId="61CA85ED">
      <w:pPr>
        <w:spacing w:before="0" w:after="80"/>
        <w:ind w:firstLine="420"/>
        <w:rPr>
          <w:sz w:val="24"/>
        </w:rPr>
      </w:pPr>
    </w:p>
    <w:p w14:paraId="055AEDF0">
      <w:pPr>
        <w:numPr>
          <w:ilvl w:val="0"/>
          <w:numId w:val="2"/>
        </w:numPr>
        <w:spacing w:line="360" w:lineRule="auto"/>
        <w:ind w:left="0" w:leftChars="0" w:firstLine="0" w:firstLineChars="0"/>
        <w:textAlignment w:val="center"/>
        <w:outlineLvl w:val="0"/>
        <w:rPr>
          <w:b/>
          <w:bCs w:val="0"/>
        </w:rPr>
      </w:pPr>
      <w:r>
        <w:rPr>
          <w:b/>
          <w:bCs w:val="0"/>
          <w:color w:val="000000"/>
          <w:sz w:val="24"/>
        </w:rPr>
        <w:t>附图说明</w:t>
      </w:r>
    </w:p>
    <w:p w14:paraId="35D7D708">
      <w:pPr>
        <w:pStyle w:val="14"/>
        <w:bidi w:val="0"/>
        <w:rPr>
          <w:rFonts w:hint="default"/>
          <w:lang w:val="en-US"/>
        </w:rPr>
      </w:pPr>
      <w:r>
        <w:rPr>
          <w:rFonts w:hint="default"/>
          <w:lang w:val="en-US"/>
        </w:rPr>
        <w:t>为了更清楚地说明本发明实施例或现有技术中的技术方案，下面将对实施例或现有技术描述中所需要使用的附图作简单地介绍。显而易见地，下面描述中的附图仅仅是本发明的一些实施例，对于本领域普通技术人员来讲，在不付出创造性劳动的前提下，还可以根据这些附图获得其他的附图。</w:t>
      </w:r>
    </w:p>
    <w:p w14:paraId="0C439FEC">
      <w:pPr>
        <w:pStyle w:val="14"/>
        <w:bidi w:val="0"/>
        <w:rPr>
          <w:rFonts w:hint="default"/>
          <w:lang w:val="en-US"/>
        </w:rPr>
      </w:pPr>
      <w:r>
        <w:rPr>
          <w:rFonts w:hint="default"/>
          <w:lang w:val="en-US"/>
        </w:rPr>
        <w:t>图1为本发明实施例提供的俄罗斯方块智能决策方法整体流程示意图，展示了状态获取、候选动作生成、价值评估、旁路判断和指令输出的基本过程；</w:t>
      </w:r>
    </w:p>
    <w:p w14:paraId="366F5AA8">
      <w:pPr>
        <w:pStyle w:val="14"/>
        <w:bidi w:val="0"/>
        <w:rPr>
          <w:rFonts w:hint="default"/>
          <w:lang w:val="en-US"/>
        </w:rPr>
      </w:pPr>
      <w:r>
        <w:rPr>
          <w:rFonts w:hint="default"/>
          <w:lang w:val="en-US"/>
        </w:rPr>
        <w:t>图2为本发明实施例中特征提取机制的网格状态转化示意图，展示了如何从棋盘网格中提取高度、空洞、消行和表面起伏等低维特征；</w:t>
      </w:r>
    </w:p>
    <w:p w14:paraId="404E11B6">
      <w:pPr>
        <w:pStyle w:val="14"/>
        <w:bidi w:val="0"/>
        <w:rPr>
          <w:rFonts w:hint="eastAsia"/>
          <w:lang w:val="en-US" w:eastAsia="zh-CN"/>
        </w:rPr>
      </w:pPr>
      <w:r>
        <w:rPr>
          <w:rFonts w:hint="default"/>
          <w:lang w:val="en-US"/>
        </w:rPr>
        <w:t>图3为本发明实施例中自适应降级旁路调度机制的逻辑判断流程图，展示了系统根据前瞻权重决定是否执行下一层候选状态预测的过程</w:t>
      </w:r>
      <w:r>
        <w:rPr>
          <w:rFonts w:hint="eastAsia"/>
          <w:lang w:val="en-US" w:eastAsia="zh-CN"/>
        </w:rPr>
        <w:t>；</w:t>
      </w:r>
    </w:p>
    <w:p w14:paraId="2BB35189">
      <w:pPr>
        <w:pStyle w:val="14"/>
        <w:bidi w:val="0"/>
        <w:rPr>
          <w:rFonts w:hint="eastAsia"/>
          <w:lang w:val="en-US" w:eastAsia="zh-CN"/>
        </w:rPr>
      </w:pPr>
      <w:r>
        <w:t>图4为本发明实施例中深度Q网络模型训练过程的收敛曲线示意图，用于说明模型训练过程中损失值（Loss）和消行数（Lines Cleared）等评估指标的变化情况</w:t>
      </w:r>
      <w:r>
        <w:rPr>
          <w:rFonts w:hint="eastAsia"/>
          <w:lang w:val="en-US" w:eastAsia="zh-CN"/>
        </w:rPr>
        <w:t>；</w:t>
      </w:r>
    </w:p>
    <w:p w14:paraId="0504215A">
      <w:pPr>
        <w:pStyle w:val="14"/>
        <w:bidi w:val="0"/>
        <w:rPr>
          <w:rFonts w:hint="default"/>
          <w:lang w:val="en-US"/>
        </w:rPr>
      </w:pPr>
      <w:r>
        <w:t>图5为本发明实施例系统在多模式竞技场景下的实际运行界面效果图，包括：(a) 经典双屏对战模式下的人机博弈界面；(b) 同屏竞技模式下的共享棋盘对抗界面</w:t>
      </w:r>
      <w:r>
        <w:rPr>
          <w:rFonts w:hint="default"/>
          <w:lang w:val="en-US"/>
        </w:rPr>
        <w:t>。</w:t>
      </w:r>
    </w:p>
    <w:p w14:paraId="073B2A59">
      <w:pPr>
        <w:pStyle w:val="14"/>
        <w:bidi w:val="0"/>
        <w:rPr>
          <w:rFonts w:hint="default"/>
          <w:lang w:val="en-US"/>
        </w:rPr>
      </w:pPr>
    </w:p>
    <w:p w14:paraId="3DEEF075">
      <w:pPr>
        <w:pStyle w:val="14"/>
        <w:bidi w:val="0"/>
        <w:rPr>
          <w:rFonts w:hint="default"/>
          <w:lang w:val="en-US"/>
        </w:rPr>
      </w:pPr>
    </w:p>
    <w:p w14:paraId="087BF36A">
      <w:pPr>
        <w:pStyle w:val="15"/>
        <w:bidi w:val="0"/>
        <w:rPr>
          <w:rFonts w:hint="eastAsia"/>
          <w:lang w:val="en-US" w:eastAsia="zh-CN"/>
        </w:rPr>
      </w:pPr>
      <w:r>
        <w:rPr>
          <w:rFonts w:hint="eastAsia"/>
          <w:lang w:val="en-US" w:eastAsia="zh-CN"/>
        </w:rPr>
        <w:drawing>
          <wp:inline distT="0" distB="0" distL="114300" distR="114300">
            <wp:extent cx="4231640" cy="8503285"/>
            <wp:effectExtent l="0" t="0" r="6985" b="2540"/>
            <wp:docPr id="13" name="图片 13" descr="专利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专利图1"/>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4231640" cy="8503285"/>
                    </a:xfrm>
                    <a:prstGeom prst="rect">
                      <a:avLst/>
                    </a:prstGeom>
                  </pic:spPr>
                </pic:pic>
              </a:graphicData>
            </a:graphic>
          </wp:inline>
        </w:drawing>
      </w:r>
    </w:p>
    <w:p w14:paraId="1E1FA87C">
      <w:pPr>
        <w:pStyle w:val="15"/>
        <w:bidi w:val="0"/>
        <w:rPr>
          <w:rFonts w:hint="default"/>
          <w:lang w:val="en-US" w:eastAsia="zh-CN"/>
        </w:rPr>
      </w:pPr>
      <w:r>
        <w:rPr>
          <w:rFonts w:hint="eastAsia"/>
          <w:lang w:val="en-US" w:eastAsia="zh-CN"/>
        </w:rPr>
        <w:t xml:space="preserve">图1 </w:t>
      </w:r>
      <w:r>
        <w:rPr>
          <w:rFonts w:hint="default"/>
          <w:lang w:val="en-US"/>
        </w:rPr>
        <w:t>俄罗斯方块智能决策方法整体流程示意图</w:t>
      </w:r>
    </w:p>
    <w:p w14:paraId="1CBF275D">
      <w:pPr>
        <w:pStyle w:val="15"/>
        <w:bidi w:val="0"/>
        <w:rPr>
          <w:rFonts w:hint="eastAsia"/>
          <w:lang w:val="en-US" w:eastAsia="zh-CN"/>
        </w:rPr>
      </w:pPr>
      <w:r>
        <w:rPr>
          <w:rFonts w:hint="eastAsia"/>
          <w:lang w:val="en-US" w:eastAsia="zh-CN"/>
        </w:rPr>
        <w:drawing>
          <wp:inline distT="0" distB="0" distL="114300" distR="114300">
            <wp:extent cx="5273040" cy="2809875"/>
            <wp:effectExtent l="0" t="0" r="3810" b="0"/>
            <wp:docPr id="14" name="图片 14" descr="专利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专利图2"/>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5273040" cy="2809875"/>
                    </a:xfrm>
                    <a:prstGeom prst="rect">
                      <a:avLst/>
                    </a:prstGeom>
                  </pic:spPr>
                </pic:pic>
              </a:graphicData>
            </a:graphic>
          </wp:inline>
        </w:drawing>
      </w:r>
    </w:p>
    <w:p w14:paraId="0401C339">
      <w:pPr>
        <w:pStyle w:val="15"/>
        <w:bidi w:val="0"/>
        <w:rPr>
          <w:rFonts w:hint="eastAsia"/>
          <w:lang w:val="en-US" w:eastAsia="zh-CN"/>
        </w:rPr>
      </w:pPr>
    </w:p>
    <w:p w14:paraId="5053F0B1">
      <w:pPr>
        <w:pStyle w:val="15"/>
        <w:bidi w:val="0"/>
        <w:rPr>
          <w:rFonts w:hint="default"/>
          <w:lang w:val="en-US" w:eastAsia="zh-CN"/>
        </w:rPr>
      </w:pPr>
      <w:r>
        <w:rPr>
          <w:rFonts w:hint="eastAsia"/>
          <w:lang w:val="en-US" w:eastAsia="zh-CN"/>
        </w:rPr>
        <w:t xml:space="preserve">图2 </w:t>
      </w:r>
      <w:r>
        <w:rPr>
          <w:rFonts w:hint="default"/>
          <w:lang w:val="en-US"/>
        </w:rPr>
        <w:t>特征提取机制的网格状态转化示意图</w:t>
      </w:r>
    </w:p>
    <w:p w14:paraId="358FF06F">
      <w:pPr>
        <w:pStyle w:val="14"/>
        <w:bidi w:val="0"/>
        <w:rPr>
          <w:rFonts w:hint="eastAsia" w:eastAsia="宋体"/>
          <w:lang w:val="en-US" w:eastAsia="zh-CN"/>
        </w:rPr>
      </w:pPr>
    </w:p>
    <w:p w14:paraId="03D5AADE">
      <w:pPr>
        <w:pStyle w:val="14"/>
        <w:bidi w:val="0"/>
        <w:rPr>
          <w:rFonts w:hint="eastAsia" w:eastAsia="宋体"/>
          <w:lang w:val="en-US" w:eastAsia="zh-CN"/>
        </w:rPr>
      </w:pPr>
      <w:r>
        <w:rPr>
          <w:rFonts w:hint="eastAsia" w:eastAsia="宋体"/>
          <w:lang w:val="en-US" w:eastAsia="zh-CN"/>
        </w:rPr>
        <w:drawing>
          <wp:inline distT="0" distB="0" distL="114300" distR="114300">
            <wp:extent cx="4495165" cy="7686040"/>
            <wp:effectExtent l="0" t="0" r="635" b="635"/>
            <wp:docPr id="15" name="图片 15" descr="专利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专利图3"/>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4495165" cy="7686040"/>
                    </a:xfrm>
                    <a:prstGeom prst="rect">
                      <a:avLst/>
                    </a:prstGeom>
                  </pic:spPr>
                </pic:pic>
              </a:graphicData>
            </a:graphic>
          </wp:inline>
        </w:drawing>
      </w:r>
    </w:p>
    <w:p w14:paraId="5DFD3D6B">
      <w:pPr>
        <w:pStyle w:val="14"/>
        <w:bidi w:val="0"/>
        <w:rPr>
          <w:rFonts w:hint="eastAsia" w:eastAsia="宋体"/>
          <w:lang w:val="en-US" w:eastAsia="zh-CN"/>
        </w:rPr>
      </w:pPr>
    </w:p>
    <w:p w14:paraId="676E3C6E">
      <w:pPr>
        <w:pStyle w:val="15"/>
        <w:bidi w:val="0"/>
        <w:rPr>
          <w:rFonts w:hint="default"/>
          <w:lang w:val="en-US" w:eastAsia="zh-CN"/>
        </w:rPr>
      </w:pPr>
      <w:r>
        <w:rPr>
          <w:rFonts w:hint="eastAsia"/>
          <w:lang w:val="en-US" w:eastAsia="zh-CN"/>
        </w:rPr>
        <w:t xml:space="preserve">图3 </w:t>
      </w:r>
      <w:r>
        <w:rPr>
          <w:rFonts w:hint="default"/>
          <w:lang w:val="en-US"/>
        </w:rPr>
        <w:t>自适应降级旁路调度机制的逻辑判断流程图</w:t>
      </w:r>
    </w:p>
    <w:p w14:paraId="2C431E18">
      <w:pPr>
        <w:pStyle w:val="14"/>
        <w:bidi w:val="0"/>
        <w:rPr>
          <w:rFonts w:hint="default"/>
          <w:lang w:val="en-US"/>
        </w:rPr>
      </w:pPr>
    </w:p>
    <w:p w14:paraId="73C23D7A">
      <w:pPr>
        <w:pStyle w:val="14"/>
        <w:bidi w:val="0"/>
      </w:pPr>
    </w:p>
    <w:p w14:paraId="56B2B19D">
      <w:pPr>
        <w:pStyle w:val="15"/>
        <w:bidi w:val="0"/>
        <w:rPr>
          <w:rFonts w:hint="eastAsia"/>
          <w:lang w:eastAsia="zh-CN"/>
        </w:rPr>
      </w:pPr>
      <w:r>
        <w:rPr>
          <w:rFonts w:hint="eastAsia"/>
          <w:lang w:eastAsia="zh-CN"/>
        </w:rPr>
        <w:drawing>
          <wp:inline distT="0" distB="0" distL="114300" distR="114300">
            <wp:extent cx="5272405" cy="3375025"/>
            <wp:effectExtent l="0" t="0" r="4445" b="6350"/>
            <wp:docPr id="16" name="图片 16" descr="training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training_curve"/>
                    <pic:cNvPicPr>
                      <a:picLocks noChangeAspect="1"/>
                    </pic:cNvPicPr>
                  </pic:nvPicPr>
                  <pic:blipFill>
                    <a:blip r:embed="rId16"/>
                    <a:stretch>
                      <a:fillRect/>
                    </a:stretch>
                  </pic:blipFill>
                  <pic:spPr>
                    <a:xfrm>
                      <a:off x="0" y="0"/>
                      <a:ext cx="5272405" cy="3375025"/>
                    </a:xfrm>
                    <a:prstGeom prst="rect">
                      <a:avLst/>
                    </a:prstGeom>
                  </pic:spPr>
                </pic:pic>
              </a:graphicData>
            </a:graphic>
          </wp:inline>
        </w:drawing>
      </w:r>
    </w:p>
    <w:p w14:paraId="2BF19C34">
      <w:pPr>
        <w:pStyle w:val="15"/>
        <w:bidi w:val="0"/>
        <w:rPr>
          <w:rFonts w:hint="default"/>
          <w:lang w:val="en-US" w:eastAsia="zh-CN"/>
        </w:rPr>
      </w:pPr>
      <w:r>
        <w:rPr>
          <w:rFonts w:hint="eastAsia"/>
          <w:lang w:eastAsia="zh-CN"/>
        </w:rPr>
        <w:t>图</w:t>
      </w:r>
      <w:r>
        <w:rPr>
          <w:rFonts w:hint="eastAsia"/>
          <w:lang w:val="en-US" w:eastAsia="zh-CN"/>
        </w:rPr>
        <w:t>4 本发明实施例中预训练的深度Q网络（DQN）在训练过程中的多维收敛性能曲线图</w:t>
      </w:r>
    </w:p>
    <w:p w14:paraId="3A166C82">
      <w:pPr>
        <w:pStyle w:val="14"/>
        <w:bidi w:val="0"/>
      </w:pPr>
    </w:p>
    <w:p w14:paraId="0FE17E84">
      <w:pPr>
        <w:pStyle w:val="15"/>
        <w:bidi w:val="0"/>
      </w:pPr>
      <w:r>
        <w:drawing>
          <wp:inline distT="0" distB="0" distL="114300" distR="114300">
            <wp:extent cx="5267325" cy="3293110"/>
            <wp:effectExtent l="0" t="0" r="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7"/>
                    <a:stretch>
                      <a:fillRect/>
                    </a:stretch>
                  </pic:blipFill>
                  <pic:spPr>
                    <a:xfrm>
                      <a:off x="0" y="0"/>
                      <a:ext cx="5267325" cy="3293110"/>
                    </a:xfrm>
                    <a:prstGeom prst="rect">
                      <a:avLst/>
                    </a:prstGeom>
                    <a:noFill/>
                    <a:ln>
                      <a:noFill/>
                    </a:ln>
                  </pic:spPr>
                </pic:pic>
              </a:graphicData>
            </a:graphic>
          </wp:inline>
        </w:drawing>
      </w:r>
    </w:p>
    <w:p w14:paraId="6D71E629">
      <w:pPr>
        <w:pStyle w:val="15"/>
        <w:bidi w:val="0"/>
        <w:rPr>
          <w:rFonts w:hint="default"/>
          <w:lang w:val="en-US"/>
        </w:rPr>
      </w:pPr>
      <w:r>
        <w:rPr>
          <w:rFonts w:hint="eastAsia"/>
          <w:lang w:val="en-US" w:eastAsia="zh-CN"/>
        </w:rPr>
        <w:t>图5 (a)</w:t>
      </w:r>
      <w:r>
        <w:rPr>
          <w:rFonts w:hint="default"/>
          <w:lang w:val="en-US"/>
        </w:rPr>
        <w:t>多模式竞技</w:t>
      </w:r>
      <w:r>
        <w:rPr>
          <w:rFonts w:hint="eastAsia"/>
          <w:lang w:val="en-US" w:eastAsia="zh-CN"/>
        </w:rPr>
        <w:t>中</w:t>
      </w:r>
      <w:r>
        <w:rPr>
          <w:rFonts w:hint="default"/>
          <w:lang w:val="en-US"/>
        </w:rPr>
        <w:t>经典模式场景下的实际博弈界面效果图</w:t>
      </w:r>
    </w:p>
    <w:p w14:paraId="5DACD2ED">
      <w:pPr>
        <w:pStyle w:val="14"/>
        <w:bidi w:val="0"/>
      </w:pPr>
    </w:p>
    <w:p w14:paraId="5B8CF7FE">
      <w:pPr>
        <w:pStyle w:val="15"/>
        <w:bidi w:val="0"/>
      </w:pPr>
      <w:r>
        <w:drawing>
          <wp:inline distT="0" distB="0" distL="114300" distR="114300">
            <wp:extent cx="5267325" cy="330517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8"/>
                    <a:stretch>
                      <a:fillRect/>
                    </a:stretch>
                  </pic:blipFill>
                  <pic:spPr>
                    <a:xfrm>
                      <a:off x="0" y="0"/>
                      <a:ext cx="5267325" cy="3305175"/>
                    </a:xfrm>
                    <a:prstGeom prst="rect">
                      <a:avLst/>
                    </a:prstGeom>
                    <a:noFill/>
                    <a:ln>
                      <a:noFill/>
                    </a:ln>
                  </pic:spPr>
                </pic:pic>
              </a:graphicData>
            </a:graphic>
          </wp:inline>
        </w:drawing>
      </w:r>
    </w:p>
    <w:p w14:paraId="5496D5B1">
      <w:pPr>
        <w:pStyle w:val="15"/>
        <w:bidi w:val="0"/>
        <w:rPr>
          <w:rFonts w:hint="default"/>
          <w:lang w:val="en-US"/>
        </w:rPr>
      </w:pPr>
      <w:r>
        <w:rPr>
          <w:rFonts w:hint="eastAsia"/>
          <w:lang w:val="en-US" w:eastAsia="zh-CN"/>
        </w:rPr>
        <w:t xml:space="preserve">图5 </w:t>
      </w:r>
      <w:r>
        <w:rPr>
          <w:rFonts w:hint="default"/>
          <w:lang w:val="en-US"/>
        </w:rPr>
        <w:t>多模式竞技</w:t>
      </w:r>
      <w:r>
        <w:rPr>
          <w:rFonts w:hint="eastAsia"/>
          <w:lang w:val="en-US" w:eastAsia="zh-CN"/>
        </w:rPr>
        <w:t>中对抗模式</w:t>
      </w:r>
      <w:r>
        <w:rPr>
          <w:rFonts w:hint="default"/>
          <w:lang w:val="en-US"/>
        </w:rPr>
        <w:t>场景下的实际博弈界面效果图</w:t>
      </w:r>
    </w:p>
    <w:p w14:paraId="1CA7220E">
      <w:pPr>
        <w:numPr>
          <w:ilvl w:val="0"/>
          <w:numId w:val="2"/>
        </w:numPr>
        <w:spacing w:line="360" w:lineRule="auto"/>
        <w:ind w:left="0" w:leftChars="0" w:firstLine="0" w:firstLineChars="0"/>
        <w:textAlignment w:val="center"/>
        <w:outlineLvl w:val="0"/>
        <w:rPr>
          <w:b/>
          <w:color w:val="000000"/>
          <w:sz w:val="24"/>
        </w:rPr>
      </w:pPr>
      <w:r>
        <w:rPr>
          <w:b/>
          <w:color w:val="000000"/>
          <w:sz w:val="24"/>
        </w:rPr>
        <w:t>具体实施方式</w:t>
      </w:r>
    </w:p>
    <w:p w14:paraId="3F363979">
      <w:pPr>
        <w:pStyle w:val="14"/>
        <w:bidi w:val="0"/>
        <w:rPr>
          <w:rFonts w:hint="default"/>
          <w:lang w:val="en-US"/>
        </w:rPr>
      </w:pPr>
      <w:r>
        <w:rPr>
          <w:rFonts w:hint="default"/>
          <w:lang w:val="en-US"/>
        </w:rPr>
        <w:t>下面将结合本发明实施例中的附图，对本发明实施例中的技术方案进行清楚、完整地描述。显然，所描述的实施例仅仅是本发明一部分实施例，而不是全部的实施例。基于本发明中的实施例，本领域普通技术人员在没有做出创造性劳动前提下所获得的所有其他实施例，都属于本发明保护的范围。</w:t>
      </w:r>
    </w:p>
    <w:p w14:paraId="75DF5FFE">
      <w:pPr>
        <w:pStyle w:val="14"/>
        <w:bidi w:val="0"/>
        <w:rPr>
          <w:rFonts w:hint="eastAsia"/>
          <w:lang w:val="en-US" w:eastAsia="zh-CN"/>
        </w:rPr>
      </w:pPr>
      <w:r>
        <w:rPr>
          <w:rFonts w:hint="default"/>
          <w:lang w:val="en-US"/>
        </w:rPr>
        <w:t>本实施例的技术栈构成如下</w:t>
      </w:r>
      <w:r>
        <w:rPr>
          <w:rFonts w:hint="eastAsia"/>
          <w:lang w:val="en-US" w:eastAsia="zh-CN"/>
        </w:rPr>
        <w:t>：</w:t>
      </w:r>
    </w:p>
    <w:p w14:paraId="0DAE8CB5">
      <w:pPr>
        <w:pStyle w:val="14"/>
        <w:bidi w:val="0"/>
        <w:rPr>
          <w:rFonts w:hint="default"/>
          <w:lang w:val="en-US"/>
        </w:rPr>
      </w:pPr>
      <w:r>
        <w:rPr>
          <w:rFonts w:hint="default"/>
          <w:lang w:val="en-US"/>
        </w:rPr>
        <w:t>游戏引擎：Pygame（2D 渲染、事件处理、60 FPS 主循环调度）</w:t>
      </w:r>
    </w:p>
    <w:p w14:paraId="2592E30B">
      <w:pPr>
        <w:pStyle w:val="14"/>
        <w:bidi w:val="0"/>
        <w:rPr>
          <w:rFonts w:hint="default"/>
          <w:lang w:val="en-US"/>
        </w:rPr>
      </w:pPr>
      <w:r>
        <w:rPr>
          <w:rFonts w:hint="default"/>
          <w:lang w:val="en-US"/>
        </w:rPr>
        <w:t>AI 框架：PyTorch + Deep Q-Network（三层全连接128/128/64，23 维特征输入）</w:t>
      </w:r>
      <w:bookmarkStart w:id="2" w:name="_GoBack"/>
      <w:bookmarkEnd w:id="2"/>
    </w:p>
    <w:p w14:paraId="4AB4E1F3">
      <w:pPr>
        <w:pStyle w:val="14"/>
        <w:bidi w:val="0"/>
        <w:rPr>
          <w:rFonts w:hint="default"/>
          <w:lang w:val="en-US"/>
        </w:rPr>
      </w:pPr>
      <w:r>
        <w:rPr>
          <w:rFonts w:hint="default"/>
          <w:lang w:val="en-US"/>
        </w:rPr>
        <w:t>训练策略：Prioritized Experience</w:t>
      </w:r>
      <w:r>
        <w:rPr>
          <w:rFonts w:hint="eastAsia"/>
          <w:lang w:val="en-US" w:eastAsia="zh-CN"/>
        </w:rPr>
        <w:t xml:space="preserve"> </w:t>
      </w:r>
      <w:r>
        <w:rPr>
          <w:rFonts w:hint="default"/>
          <w:lang w:val="en-US"/>
        </w:rPr>
        <w:t>Replay（优先级经验回放）+ 课程学习（Curriculum Learning）+Teacher Forcing</w:t>
      </w:r>
    </w:p>
    <w:p w14:paraId="695949D6">
      <w:pPr>
        <w:pStyle w:val="14"/>
        <w:bidi w:val="0"/>
        <w:rPr>
          <w:rFonts w:hint="default"/>
          <w:lang w:val="en-US"/>
        </w:rPr>
      </w:pPr>
      <w:r>
        <w:rPr>
          <w:rFonts w:hint="default"/>
          <w:lang w:val="en-US"/>
        </w:rPr>
        <w:t>语言与数据：Python 3.10 + NumPy（棋盘状态数值计算）</w:t>
      </w:r>
    </w:p>
    <w:p w14:paraId="4DA74C2B">
      <w:pPr>
        <w:pStyle w:val="14"/>
        <w:bidi w:val="0"/>
        <w:rPr>
          <w:rFonts w:hint="default"/>
          <w:lang w:val="en-US"/>
        </w:rPr>
      </w:pPr>
      <w:r>
        <w:rPr>
          <w:rFonts w:hint="default"/>
          <w:lang w:val="en-US"/>
        </w:rPr>
        <w:t>通信机制：Pygame 事件系统（键盘输入非阻塞轮询，AI决策帧同步调度）</w:t>
      </w:r>
    </w:p>
    <w:p w14:paraId="5B243D9C">
      <w:pPr>
        <w:pStyle w:val="14"/>
        <w:bidi w:val="0"/>
        <w:rPr>
          <w:rFonts w:hint="default"/>
          <w:lang w:val="en-US"/>
        </w:rPr>
      </w:pPr>
      <w:r>
        <w:rPr>
          <w:rFonts w:hint="default"/>
          <w:lang w:val="en-US"/>
        </w:rPr>
        <w:t>存储：PyTorch .pt 模型文件（训练检查点持久化）</w:t>
      </w:r>
    </w:p>
    <w:p w14:paraId="0AB6937C">
      <w:pPr>
        <w:pStyle w:val="14"/>
        <w:bidi w:val="0"/>
        <w:rPr>
          <w:rFonts w:hint="default"/>
          <w:lang w:val="en-US"/>
        </w:rPr>
      </w:pPr>
      <w:r>
        <w:rPr>
          <w:rFonts w:hint="default"/>
          <w:lang w:val="en-US"/>
        </w:rPr>
        <w:t>工具链：VS Code + Git</w:t>
      </w:r>
    </w:p>
    <w:p w14:paraId="3B6FA639">
      <w:pPr>
        <w:pStyle w:val="14"/>
        <w:bidi w:val="0"/>
        <w:rPr>
          <w:rFonts w:hint="default"/>
          <w:lang w:val="en-US"/>
        </w:rPr>
      </w:pPr>
    </w:p>
    <w:p w14:paraId="792AFC26">
      <w:pPr>
        <w:pStyle w:val="14"/>
        <w:bidi w:val="0"/>
      </w:pPr>
      <w:r>
        <w:t>结合图1（智能决策方法整体流程示意图），本发明提供了一种基于深度Q网络与自适应降级机制的俄罗斯方块智能处理架构。系统在初始化阶段配置Pygame渲染主循环，并加载预训练的DQN神经网络权重（.pt模型文件，存储于models/next_state_v3/目录下）。在游戏对局的每一帧中，首先由环境感知模块获取当前二维网格矩阵数据与下落方块（Tetromino）的绝对坐标集，然后遍历当前所有合法的平移与旋转组合空间，构成候选动作集，作为后续决策引擎的输入基础。系统还通过7-bag发牌机制确保玩家与AI使用相同的方块序列，保证对局的公平性。</w:t>
      </w:r>
    </w:p>
    <w:p w14:paraId="013D2D01">
      <w:pPr>
        <w:pStyle w:val="14"/>
        <w:bidi w:val="0"/>
      </w:pPr>
      <w:r>
        <w:t>结合图2（特征提取网格状态转化示意图），在动作评估前，本系统通过特征工程执行轻量级的数据降维。具体实施中，算法并非将原始棋盘网格直接输入卷积神经网络，而是构建了一套人工特征过滤管道。系统模拟方块在某个特定位置落底后的局面，并即时计算该虚拟局面的多项一维关键指标：包括各列天际线高度（Column Heights）、形成的孔洞数量（Holes）、相邻列的高度差绝对值之和（Bumpiness），以及模拟消除的行数（Cleared Lines）。上述特征通过next_state_features.py模块中的特征提取函数统一计算，将复杂的高维游戏状态压缩为23维低维特征向量，实现低延迟的实时计算。</w:t>
      </w:r>
    </w:p>
    <w:p w14:paraId="5DCE1260">
      <w:pPr>
        <w:pStyle w:val="14"/>
        <w:bidi w:val="0"/>
      </w:pPr>
      <w:r>
        <w:t>结合图4（模型训练收敛曲线图），为了突破传统启发式规则容易陷入局部最优的局限，本发明采用了深度Q网络（Deep Q-Network）进行动作价值预测。训练过程采用Prioritized Experience Replay（优先级经验回放，α=0.6, β: 0.4→1.0）、课程学习（前1200 episodes为单人预训练阶段，逐步过渡到对抗训练）和Teacher Forcing等策略。从图4中的Loss曲线平滑下降并趋于稳定，以及Lines Cleared曲线随训练进行产生跃升式增长可以看出，网络通过反向传播算法掌握了环境状态与未来预期收益（Q值）之间的非线性映射关系。在实机部署时，将上述降维后的特征向量输入该网络，网络即可输出各个候选落点状态的价值评分。</w:t>
      </w:r>
    </w:p>
    <w:p w14:paraId="6112907A">
      <w:pPr>
        <w:pStyle w:val="14"/>
        <w:bidi w:val="0"/>
      </w:pPr>
      <w:r>
        <w:t>结合图3（自适应降级旁路调度逻辑流程图），本系统的核心创新点在于针对实时竞技卡顿（Stuttering）问题设计的自适应旁路降级机制。在实施过程中（参见ai_controller.py），对于包含未来状态深度预测（get_best_future_score方法）的模块增设了严格的条件旁路器。当系统检测到当前处于高频并发的经典双屏对战模式时，控制器层自动将前瞻权重因子 lookahead_weight 设为0；系统随后触发逻辑旁路，强制跳过对下一次落块环境的完全遍历预测过程，转而直接输出具有当前最大基础Q值（或启发式评分）的落点方案。此设计从根本上切断了由于状态树二次展开所导致的算力溢出，实验测得该降级机制将单次寻优耗时由141.684毫秒显著降至2.075毫秒，完全适应高频实时响应需求。</w:t>
      </w:r>
    </w:p>
    <w:p w14:paraId="7DAF046D">
      <w:pPr>
        <w:pStyle w:val="14"/>
        <w:bidi w:val="0"/>
      </w:pPr>
      <w:r>
        <w:t>结合图5（多模式竞技场景下的实机博弈效果图），本方案最终落地为统一渲染循环下的双实体同步调度框架。在具体的游戏对战中，主界面的渲染、人类玩家键盘事件的非阻塞侦听与读取，以及AI的智能决策函数均在主流程中由固定刷新时钟（pygame.time.Clock.tick(60)）统一约束。同屏竞技模式下，系统还实现了活动方块间的碰撞推挤机制和垃圾行攻击/抵消系统，增强了对抗的策略深度和观赏性。AI的高速不卡顿推演保障了人类玩家在同一终端、同一UI视口下的平滑操作体验，成功构筑了流畅、智能且具有挑战性的人机博弈系统。</w:t>
      </w:r>
    </w:p>
    <w:p w14:paraId="468B41EF">
      <w:pPr>
        <w:spacing w:before="160" w:after="80"/>
        <w:ind w:firstLine="420"/>
      </w:pPr>
      <w:r>
        <w:rPr>
          <w:b/>
          <w:sz w:val="24"/>
        </w:rPr>
        <w:t>实施例结论</w:t>
      </w:r>
    </w:p>
    <w:p w14:paraId="704CB880">
      <w:pPr>
        <w:pStyle w:val="14"/>
        <w:bidi w:val="0"/>
      </w:pPr>
      <w:r>
        <w:t>依据本实施例的运行结果与训练曲线可知，所提出的基于深度Q网络与自适应旁路降级机制的俄罗斯方块智能决策方法能够稳定运行并完成实时人机对抗；模型训练过程中损失函数整体下降且评估指标趋于稳定，表明该方法具备有效的策略学习能力；在经典双屏对战模式下，采用前瞻权重旁路机制后，AI单帧决策耗时由约141.684毫秒降至约2.075毫秒，显著缓解主线程阻塞并消除对抗过程中的卡顿现象。综上，本方法在可运行性、对抗性与实时性方面均达到预期目标，在课程实践要求下具备较好的完整性、原创性和可展示性。</w:t>
      </w:r>
    </w:p>
    <w:p w14:paraId="5CBCEA80">
      <w:pPr>
        <w:widowControl w:val="0"/>
        <w:numPr>
          <w:ilvl w:val="0"/>
          <w:numId w:val="0"/>
        </w:numPr>
        <w:spacing w:line="360" w:lineRule="auto"/>
        <w:jc w:val="both"/>
        <w:textAlignment w:val="center"/>
        <w:outlineLvl w:val="0"/>
        <w:rPr>
          <w:b/>
          <w:color w:val="000000"/>
          <w:sz w:val="24"/>
        </w:rPr>
      </w:pPr>
    </w:p>
    <w:p w14:paraId="3CDA3575">
      <w:pPr>
        <w:widowControl w:val="0"/>
        <w:numPr>
          <w:ilvl w:val="0"/>
          <w:numId w:val="0"/>
        </w:numPr>
        <w:spacing w:line="360" w:lineRule="auto"/>
        <w:jc w:val="both"/>
        <w:textAlignment w:val="center"/>
        <w:outlineLvl w:val="0"/>
        <w:rPr>
          <w:b/>
          <w:color w:val="000000"/>
          <w:sz w:val="24"/>
        </w:rPr>
      </w:pPr>
    </w:p>
    <w:p w14:paraId="31DC18B9">
      <w:pPr>
        <w:widowControl w:val="0"/>
        <w:numPr>
          <w:ilvl w:val="0"/>
          <w:numId w:val="0"/>
        </w:numPr>
        <w:spacing w:line="360" w:lineRule="auto"/>
        <w:jc w:val="both"/>
        <w:textAlignment w:val="center"/>
        <w:outlineLvl w:val="0"/>
        <w:rPr>
          <w:b/>
          <w:color w:val="000000"/>
          <w:sz w:val="24"/>
        </w:rPr>
      </w:pPr>
    </w:p>
    <w:p w14:paraId="16E2B376">
      <w:pPr>
        <w:widowControl w:val="0"/>
        <w:numPr>
          <w:ilvl w:val="0"/>
          <w:numId w:val="0"/>
        </w:numPr>
        <w:spacing w:line="360" w:lineRule="auto"/>
        <w:jc w:val="both"/>
        <w:textAlignment w:val="center"/>
        <w:outlineLvl w:val="0"/>
        <w:rPr>
          <w:b/>
          <w:color w:val="000000"/>
          <w:sz w:val="24"/>
        </w:rPr>
      </w:pPr>
    </w:p>
    <w:p w14:paraId="0660EA5E">
      <w:pPr>
        <w:widowControl w:val="0"/>
        <w:numPr>
          <w:ilvl w:val="0"/>
          <w:numId w:val="0"/>
        </w:numPr>
        <w:spacing w:line="360" w:lineRule="auto"/>
        <w:jc w:val="both"/>
        <w:textAlignment w:val="center"/>
        <w:outlineLvl w:val="0"/>
        <w:rPr>
          <w:b/>
          <w:color w:val="000000"/>
          <w:sz w:val="24"/>
        </w:rPr>
      </w:pPr>
    </w:p>
    <w:p w14:paraId="24BBB2CA">
      <w:pPr>
        <w:widowControl w:val="0"/>
        <w:numPr>
          <w:ilvl w:val="0"/>
          <w:numId w:val="0"/>
        </w:numPr>
        <w:spacing w:line="360" w:lineRule="auto"/>
        <w:jc w:val="both"/>
        <w:textAlignment w:val="center"/>
        <w:outlineLvl w:val="0"/>
        <w:rPr>
          <w:b/>
          <w:color w:val="000000"/>
          <w:sz w:val="24"/>
        </w:rPr>
      </w:pPr>
    </w:p>
    <w:p w14:paraId="4138A82D">
      <w:pPr>
        <w:widowControl w:val="0"/>
        <w:numPr>
          <w:ilvl w:val="0"/>
          <w:numId w:val="0"/>
        </w:numPr>
        <w:spacing w:line="360" w:lineRule="auto"/>
        <w:jc w:val="both"/>
        <w:textAlignment w:val="center"/>
        <w:outlineLvl w:val="0"/>
        <w:rPr>
          <w:b/>
          <w:color w:val="000000"/>
          <w:sz w:val="24"/>
        </w:rPr>
      </w:pPr>
    </w:p>
    <w:p w14:paraId="147184AE">
      <w:pPr>
        <w:widowControl w:val="0"/>
        <w:numPr>
          <w:ilvl w:val="0"/>
          <w:numId w:val="0"/>
        </w:numPr>
        <w:spacing w:line="360" w:lineRule="auto"/>
        <w:jc w:val="both"/>
        <w:textAlignment w:val="center"/>
        <w:outlineLvl w:val="0"/>
        <w:rPr>
          <w:b/>
          <w:color w:val="000000"/>
          <w:sz w:val="24"/>
        </w:rPr>
      </w:pPr>
    </w:p>
    <w:p w14:paraId="0A631A86">
      <w:pPr>
        <w:widowControl w:val="0"/>
        <w:numPr>
          <w:ilvl w:val="0"/>
          <w:numId w:val="0"/>
        </w:numPr>
        <w:spacing w:line="360" w:lineRule="auto"/>
        <w:jc w:val="both"/>
        <w:textAlignment w:val="center"/>
        <w:outlineLvl w:val="0"/>
        <w:rPr>
          <w:b/>
          <w:color w:val="000000"/>
          <w:sz w:val="24"/>
        </w:rPr>
      </w:pPr>
    </w:p>
    <w:p w14:paraId="00AF107B">
      <w:pPr>
        <w:widowControl w:val="0"/>
        <w:numPr>
          <w:ilvl w:val="0"/>
          <w:numId w:val="0"/>
        </w:numPr>
        <w:spacing w:line="360" w:lineRule="auto"/>
        <w:jc w:val="both"/>
        <w:textAlignment w:val="center"/>
        <w:outlineLvl w:val="0"/>
        <w:rPr>
          <w:b/>
          <w:color w:val="000000"/>
          <w:sz w:val="24"/>
        </w:rPr>
      </w:pPr>
    </w:p>
    <w:p w14:paraId="2D9A310B">
      <w:pPr>
        <w:widowControl w:val="0"/>
        <w:numPr>
          <w:ilvl w:val="0"/>
          <w:numId w:val="0"/>
        </w:numPr>
        <w:spacing w:line="360" w:lineRule="auto"/>
        <w:jc w:val="both"/>
        <w:textAlignment w:val="center"/>
        <w:outlineLvl w:val="0"/>
        <w:rPr>
          <w:b/>
          <w:color w:val="000000"/>
          <w:sz w:val="24"/>
        </w:rPr>
      </w:pPr>
    </w:p>
    <w:p w14:paraId="6660B818">
      <w:pPr>
        <w:widowControl w:val="0"/>
        <w:numPr>
          <w:ilvl w:val="0"/>
          <w:numId w:val="0"/>
        </w:numPr>
        <w:spacing w:line="360" w:lineRule="auto"/>
        <w:jc w:val="both"/>
        <w:textAlignment w:val="center"/>
        <w:outlineLvl w:val="0"/>
        <w:rPr>
          <w:b/>
          <w:color w:val="000000"/>
          <w:sz w:val="24"/>
        </w:rPr>
      </w:pPr>
    </w:p>
    <w:p w14:paraId="3DD744A1">
      <w:pPr>
        <w:widowControl w:val="0"/>
        <w:numPr>
          <w:ilvl w:val="0"/>
          <w:numId w:val="0"/>
        </w:numPr>
        <w:spacing w:line="360" w:lineRule="auto"/>
        <w:jc w:val="both"/>
        <w:textAlignment w:val="center"/>
        <w:outlineLvl w:val="0"/>
        <w:rPr>
          <w:b/>
          <w:color w:val="000000"/>
          <w:sz w:val="24"/>
        </w:rPr>
      </w:pPr>
    </w:p>
    <w:p w14:paraId="25C17909">
      <w:pPr>
        <w:widowControl w:val="0"/>
        <w:numPr>
          <w:ilvl w:val="0"/>
          <w:numId w:val="0"/>
        </w:numPr>
        <w:spacing w:line="360" w:lineRule="auto"/>
        <w:jc w:val="both"/>
        <w:textAlignment w:val="center"/>
        <w:outlineLvl w:val="0"/>
        <w:rPr>
          <w:b/>
          <w:color w:val="000000"/>
          <w:sz w:val="24"/>
        </w:rPr>
      </w:pPr>
    </w:p>
    <w:p w14:paraId="4C16C9EC">
      <w:pPr>
        <w:widowControl w:val="0"/>
        <w:numPr>
          <w:ilvl w:val="0"/>
          <w:numId w:val="0"/>
        </w:numPr>
        <w:spacing w:line="360" w:lineRule="auto"/>
        <w:jc w:val="both"/>
        <w:textAlignment w:val="center"/>
        <w:outlineLvl w:val="0"/>
        <w:rPr>
          <w:b/>
          <w:color w:val="000000"/>
          <w:sz w:val="24"/>
        </w:rPr>
      </w:pPr>
    </w:p>
    <w:p w14:paraId="6B8DCA98">
      <w:pPr>
        <w:widowControl w:val="0"/>
        <w:numPr>
          <w:ilvl w:val="0"/>
          <w:numId w:val="0"/>
        </w:numPr>
        <w:spacing w:line="360" w:lineRule="auto"/>
        <w:jc w:val="both"/>
        <w:textAlignment w:val="center"/>
        <w:outlineLvl w:val="0"/>
        <w:rPr>
          <w:b/>
          <w:color w:val="000000"/>
          <w:sz w:val="24"/>
        </w:rPr>
      </w:pPr>
    </w:p>
    <w:p w14:paraId="765BC635">
      <w:pPr>
        <w:widowControl w:val="0"/>
        <w:numPr>
          <w:ilvl w:val="0"/>
          <w:numId w:val="0"/>
        </w:numPr>
        <w:spacing w:line="360" w:lineRule="auto"/>
        <w:jc w:val="both"/>
        <w:textAlignment w:val="center"/>
        <w:outlineLvl w:val="0"/>
        <w:rPr>
          <w:b/>
          <w:color w:val="000000"/>
          <w:sz w:val="24"/>
        </w:rPr>
      </w:pPr>
    </w:p>
    <w:p w14:paraId="443B7493">
      <w:pPr>
        <w:widowControl w:val="0"/>
        <w:numPr>
          <w:ilvl w:val="0"/>
          <w:numId w:val="0"/>
        </w:numPr>
        <w:spacing w:line="360" w:lineRule="auto"/>
        <w:jc w:val="both"/>
        <w:textAlignment w:val="center"/>
        <w:outlineLvl w:val="0"/>
        <w:rPr>
          <w:b/>
          <w:color w:val="000000"/>
          <w:sz w:val="24"/>
        </w:rPr>
      </w:pPr>
    </w:p>
    <w:p w14:paraId="66209CE7">
      <w:pPr>
        <w:widowControl w:val="0"/>
        <w:numPr>
          <w:ilvl w:val="0"/>
          <w:numId w:val="0"/>
        </w:numPr>
        <w:spacing w:line="360" w:lineRule="auto"/>
        <w:jc w:val="both"/>
        <w:textAlignment w:val="center"/>
        <w:outlineLvl w:val="0"/>
        <w:rPr>
          <w:b/>
          <w:color w:val="000000"/>
          <w:sz w:val="24"/>
        </w:rPr>
      </w:pPr>
    </w:p>
    <w:p w14:paraId="4F70F01B">
      <w:pPr>
        <w:widowControl w:val="0"/>
        <w:numPr>
          <w:ilvl w:val="0"/>
          <w:numId w:val="0"/>
        </w:numPr>
        <w:spacing w:line="360" w:lineRule="auto"/>
        <w:jc w:val="both"/>
        <w:textAlignment w:val="center"/>
        <w:outlineLvl w:val="0"/>
        <w:rPr>
          <w:b/>
          <w:color w:val="000000"/>
          <w:sz w:val="24"/>
        </w:rPr>
      </w:pPr>
    </w:p>
    <w:sectPr>
      <w:headerReference r:id="rId3" w:type="default"/>
      <w:footerReference r:id="rId4" w:type="default"/>
      <w:footerReference r:id="rId5" w:type="even"/>
      <w:pgSz w:w="11906" w:h="16838"/>
      <w:pgMar w:top="1440" w:right="1800" w:bottom="1440" w:left="1800" w:header="851" w:footer="992" w:gutter="0"/>
      <w:pgNumType w:fmt="numberInDash" w:start="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文泉驿微米黑"/>
    <w:panose1 w:val="00000000000000000000"/>
    <w:charset w:val="86"/>
    <w:family w:val="auto"/>
    <w:pitch w:val="default"/>
    <w:sig w:usb0="00000000" w:usb1="00000000" w:usb2="00000000" w:usb3="00000000" w:csb0="00000000" w:csb1="00000000"/>
  </w:font>
  <w:font w:name="Wingdings">
    <w:altName w:val="OpenSymbol"/>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文泉驿微米黑"/>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OpenSymbol"/>
    <w:panose1 w:val="05050102010706020507"/>
    <w:charset w:val="02"/>
    <w:family w:val="roman"/>
    <w:pitch w:val="default"/>
    <w:sig w:usb0="00000000" w:usb1="00000000" w:usb2="00000000" w:usb3="00000000" w:csb0="80000000" w:csb1="00000000"/>
  </w:font>
  <w:font w:name="DejaVu Sans">
    <w:panose1 w:val="020B0606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文泉驿微米黑">
    <w:panose1 w:val="020B0606030804020204"/>
    <w:charset w:val="86"/>
    <w:family w:val="auto"/>
    <w:pitch w:val="default"/>
    <w:sig w:usb0="E10002EF" w:usb1="6BDFFCFB" w:usb2="00800036" w:usb3="00000000" w:csb0="603E019F" w:csb1="DFD70000"/>
  </w:font>
  <w:font w:name="Cambria">
    <w:altName w:val="Gubbi"/>
    <w:panose1 w:val="00000000000000000000"/>
    <w:charset w:val="00"/>
    <w:family w:val="roman"/>
    <w:pitch w:val="default"/>
    <w:sig w:usb0="00000000" w:usb1="00000000" w:usb2="02000000" w:usb3="00000000" w:csb0="0000019F" w:csb1="00000000"/>
  </w:font>
  <w:font w:name="Gubbi">
    <w:panose1 w:val="00000400000000000000"/>
    <w:charset w:val="00"/>
    <w:family w:val="auto"/>
    <w:pitch w:val="default"/>
    <w:sig w:usb0="00400000" w:usb1="00000000" w:usb2="00000000" w:usb3="00000000" w:csb0="00000000" w:csb1="00000000"/>
  </w:font>
  <w:font w:name="等线">
    <w:altName w:val="Noto Sans CJK SC"/>
    <w:panose1 w:val="02010600030101010101"/>
    <w:charset w:val="00"/>
    <w:family w:val="auto"/>
    <w:pitch w:val="default"/>
    <w:sig w:usb0="00000000" w:usb1="00000000" w:usb2="00000016" w:usb3="00000000" w:csb0="0004000F" w:csb1="00000000"/>
  </w:font>
  <w:font w:name="Noto Sans CJK SC">
    <w:panose1 w:val="020B0500000000000000"/>
    <w:charset w:val="86"/>
    <w:family w:val="auto"/>
    <w:pitch w:val="default"/>
    <w:sig w:usb0="30000083" w:usb1="2BDF3C10" w:usb2="00000016" w:usb3="00000000" w:csb0="602E0107" w:csb1="00000000"/>
  </w:font>
  <w:font w:name="华文隶书">
    <w:altName w:val="文泉驿微米黑"/>
    <w:panose1 w:val="02010800040101010101"/>
    <w:charset w:val="00"/>
    <w:family w:val="auto"/>
    <w:pitch w:val="default"/>
    <w:sig w:usb0="00000000" w:usb1="00000000" w:usb2="00000010" w:usb3="00000000" w:csb0="00040000" w:csb1="00000000"/>
  </w:font>
  <w:font w:name="DejaVu Math TeX Gyre">
    <w:panose1 w:val="02000503000000000000"/>
    <w:charset w:val="00"/>
    <w:family w:val="auto"/>
    <w:pitch w:val="default"/>
    <w:sig w:usb0="A10000EF" w:usb1="4A00F9EE" w:usb2="02000008" w:usb3="00000000" w:csb0="60000193" w:csb1="0DD4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86DC69">
    <w:pPr>
      <w:pStyle w:val="6"/>
      <w:framePr w:wrap="around" w:vAnchor="text" w:hAnchor="page" w:x="5561" w:y="10"/>
      <w:jc w:val="center"/>
      <w:rPr>
        <w:rStyle w:val="13"/>
      </w:rPr>
    </w:pPr>
    <w:r>
      <w:fldChar w:fldCharType="begin"/>
    </w:r>
    <w:r>
      <w:rPr>
        <w:rStyle w:val="13"/>
      </w:rPr>
      <w:instrText xml:space="preserve">PAGE  </w:instrText>
    </w:r>
    <w:r>
      <w:fldChar w:fldCharType="separate"/>
    </w:r>
    <w:r>
      <w:rPr>
        <w:rStyle w:val="13"/>
      </w:rPr>
      <w:t>- 2 -</w:t>
    </w:r>
    <w:r>
      <w:fldChar w:fldCharType="end"/>
    </w:r>
  </w:p>
  <w:p w14:paraId="0DA3D44A">
    <w:pPr>
      <w:pStyle w:val="6"/>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5411B1">
    <w:pPr>
      <w:pStyle w:val="6"/>
      <w:framePr w:wrap="around" w:vAnchor="text" w:hAnchor="margin" w:xAlign="right" w:y="1"/>
      <w:rPr>
        <w:rStyle w:val="13"/>
      </w:rPr>
    </w:pPr>
    <w:r>
      <w:fldChar w:fldCharType="begin"/>
    </w:r>
    <w:r>
      <w:rPr>
        <w:rStyle w:val="13"/>
      </w:rPr>
      <w:instrText xml:space="preserve">PAGE  </w:instrText>
    </w:r>
    <w:r>
      <w:fldChar w:fldCharType="end"/>
    </w:r>
  </w:p>
  <w:p w14:paraId="194FBF6A">
    <w:pPr>
      <w:pStyle w:val="6"/>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268EA8">
    <w:pPr>
      <w:pStyle w:val="7"/>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D3F343"/>
    <w:multiLevelType w:val="singleLevel"/>
    <w:tmpl w:val="BFD3F343"/>
    <w:lvl w:ilvl="0" w:tentative="0">
      <w:start w:val="2"/>
      <w:numFmt w:val="chineseCounting"/>
      <w:suff w:val="nothing"/>
      <w:lvlText w:val="（%1）"/>
      <w:lvlJc w:val="left"/>
      <w:rPr>
        <w:rFonts w:hint="eastAsia"/>
      </w:rPr>
    </w:lvl>
  </w:abstractNum>
  <w:abstractNum w:abstractNumId="1">
    <w:nsid w:val="FDBA6482"/>
    <w:multiLevelType w:val="singleLevel"/>
    <w:tmpl w:val="FDBA6482"/>
    <w:lvl w:ilvl="0" w:tentative="0">
      <w:start w:val="3"/>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3BA1"/>
    <w:rsid w:val="000005ED"/>
    <w:rsid w:val="0000074F"/>
    <w:rsid w:val="000344C3"/>
    <w:rsid w:val="000A5F8B"/>
    <w:rsid w:val="000C1948"/>
    <w:rsid w:val="000D3DB0"/>
    <w:rsid w:val="0011309F"/>
    <w:rsid w:val="00116D08"/>
    <w:rsid w:val="001265DB"/>
    <w:rsid w:val="00142528"/>
    <w:rsid w:val="00152509"/>
    <w:rsid w:val="001600D7"/>
    <w:rsid w:val="00160351"/>
    <w:rsid w:val="00170942"/>
    <w:rsid w:val="001B19EA"/>
    <w:rsid w:val="001F4A09"/>
    <w:rsid w:val="001F532E"/>
    <w:rsid w:val="00201185"/>
    <w:rsid w:val="00210305"/>
    <w:rsid w:val="00213DCE"/>
    <w:rsid w:val="00230FA4"/>
    <w:rsid w:val="00243574"/>
    <w:rsid w:val="002555C6"/>
    <w:rsid w:val="00256A9F"/>
    <w:rsid w:val="00265A05"/>
    <w:rsid w:val="00294D90"/>
    <w:rsid w:val="002A1579"/>
    <w:rsid w:val="002A3B85"/>
    <w:rsid w:val="002A6FC8"/>
    <w:rsid w:val="002C2610"/>
    <w:rsid w:val="002C6D42"/>
    <w:rsid w:val="003105EE"/>
    <w:rsid w:val="00342C7F"/>
    <w:rsid w:val="00373BA1"/>
    <w:rsid w:val="00382470"/>
    <w:rsid w:val="00386643"/>
    <w:rsid w:val="003B1ABB"/>
    <w:rsid w:val="003F4843"/>
    <w:rsid w:val="00401973"/>
    <w:rsid w:val="004119FB"/>
    <w:rsid w:val="00411D86"/>
    <w:rsid w:val="00474D0D"/>
    <w:rsid w:val="004B07D3"/>
    <w:rsid w:val="004C7408"/>
    <w:rsid w:val="004D7A2C"/>
    <w:rsid w:val="004E5836"/>
    <w:rsid w:val="004F3E14"/>
    <w:rsid w:val="0050117C"/>
    <w:rsid w:val="00503200"/>
    <w:rsid w:val="00511E9B"/>
    <w:rsid w:val="00516439"/>
    <w:rsid w:val="00524076"/>
    <w:rsid w:val="00547878"/>
    <w:rsid w:val="00551F11"/>
    <w:rsid w:val="005522E5"/>
    <w:rsid w:val="005565A0"/>
    <w:rsid w:val="00575DD8"/>
    <w:rsid w:val="00590469"/>
    <w:rsid w:val="005A6DD9"/>
    <w:rsid w:val="005A72B0"/>
    <w:rsid w:val="005D60A5"/>
    <w:rsid w:val="005F63F9"/>
    <w:rsid w:val="00600795"/>
    <w:rsid w:val="00607181"/>
    <w:rsid w:val="00620F5E"/>
    <w:rsid w:val="0062125B"/>
    <w:rsid w:val="00624003"/>
    <w:rsid w:val="006331DA"/>
    <w:rsid w:val="00651C2D"/>
    <w:rsid w:val="00654769"/>
    <w:rsid w:val="0068028A"/>
    <w:rsid w:val="006A76CC"/>
    <w:rsid w:val="006C01C7"/>
    <w:rsid w:val="006D139B"/>
    <w:rsid w:val="006E0705"/>
    <w:rsid w:val="006E363C"/>
    <w:rsid w:val="00710C68"/>
    <w:rsid w:val="00720FB8"/>
    <w:rsid w:val="00732CCB"/>
    <w:rsid w:val="00747FDC"/>
    <w:rsid w:val="00767A32"/>
    <w:rsid w:val="007852FF"/>
    <w:rsid w:val="007946D5"/>
    <w:rsid w:val="007A5DBA"/>
    <w:rsid w:val="007B5A30"/>
    <w:rsid w:val="007C1A52"/>
    <w:rsid w:val="007C69E2"/>
    <w:rsid w:val="007D439A"/>
    <w:rsid w:val="007D6561"/>
    <w:rsid w:val="007E3A7F"/>
    <w:rsid w:val="007E5008"/>
    <w:rsid w:val="007F7837"/>
    <w:rsid w:val="00811FF5"/>
    <w:rsid w:val="00833C50"/>
    <w:rsid w:val="008713C9"/>
    <w:rsid w:val="00873171"/>
    <w:rsid w:val="008847B4"/>
    <w:rsid w:val="00885294"/>
    <w:rsid w:val="008B406C"/>
    <w:rsid w:val="008F6739"/>
    <w:rsid w:val="009011C6"/>
    <w:rsid w:val="009223EB"/>
    <w:rsid w:val="00942A1C"/>
    <w:rsid w:val="009445A3"/>
    <w:rsid w:val="009502F0"/>
    <w:rsid w:val="00953D20"/>
    <w:rsid w:val="00967400"/>
    <w:rsid w:val="00976C3B"/>
    <w:rsid w:val="00994DBA"/>
    <w:rsid w:val="009A16E1"/>
    <w:rsid w:val="009B012C"/>
    <w:rsid w:val="009E2CD1"/>
    <w:rsid w:val="009E4ACB"/>
    <w:rsid w:val="00A01002"/>
    <w:rsid w:val="00A058A3"/>
    <w:rsid w:val="00A34E47"/>
    <w:rsid w:val="00A51CFE"/>
    <w:rsid w:val="00A56AE1"/>
    <w:rsid w:val="00A56FA4"/>
    <w:rsid w:val="00A60EEE"/>
    <w:rsid w:val="00A80617"/>
    <w:rsid w:val="00AC2092"/>
    <w:rsid w:val="00AC2CC9"/>
    <w:rsid w:val="00AD224D"/>
    <w:rsid w:val="00AE3AEC"/>
    <w:rsid w:val="00AE6D54"/>
    <w:rsid w:val="00AE7FBF"/>
    <w:rsid w:val="00B21FCA"/>
    <w:rsid w:val="00B26BAB"/>
    <w:rsid w:val="00B2718E"/>
    <w:rsid w:val="00B4686F"/>
    <w:rsid w:val="00B667FD"/>
    <w:rsid w:val="00BC3388"/>
    <w:rsid w:val="00C15DA4"/>
    <w:rsid w:val="00C1716E"/>
    <w:rsid w:val="00C34B22"/>
    <w:rsid w:val="00C40603"/>
    <w:rsid w:val="00C41F6B"/>
    <w:rsid w:val="00C6387F"/>
    <w:rsid w:val="00C657DF"/>
    <w:rsid w:val="00C80F52"/>
    <w:rsid w:val="00C82ACD"/>
    <w:rsid w:val="00C94768"/>
    <w:rsid w:val="00C97116"/>
    <w:rsid w:val="00CA4DB8"/>
    <w:rsid w:val="00CD65B0"/>
    <w:rsid w:val="00CF6D72"/>
    <w:rsid w:val="00D30FD5"/>
    <w:rsid w:val="00D406DF"/>
    <w:rsid w:val="00D57959"/>
    <w:rsid w:val="00D62926"/>
    <w:rsid w:val="00D8235C"/>
    <w:rsid w:val="00D9013E"/>
    <w:rsid w:val="00DB37EC"/>
    <w:rsid w:val="00DD2D28"/>
    <w:rsid w:val="00DF195A"/>
    <w:rsid w:val="00DF3AD4"/>
    <w:rsid w:val="00E31E35"/>
    <w:rsid w:val="00E334CF"/>
    <w:rsid w:val="00E47476"/>
    <w:rsid w:val="00E70BAB"/>
    <w:rsid w:val="00E711E0"/>
    <w:rsid w:val="00E71FC2"/>
    <w:rsid w:val="00E94437"/>
    <w:rsid w:val="00EB6DAB"/>
    <w:rsid w:val="00EB6DEE"/>
    <w:rsid w:val="00EB7787"/>
    <w:rsid w:val="00EC0CE3"/>
    <w:rsid w:val="00EC4794"/>
    <w:rsid w:val="00EF5A67"/>
    <w:rsid w:val="00F02830"/>
    <w:rsid w:val="00F106F9"/>
    <w:rsid w:val="00F13F46"/>
    <w:rsid w:val="00F1555B"/>
    <w:rsid w:val="00F42955"/>
    <w:rsid w:val="00F73F35"/>
    <w:rsid w:val="00F742F2"/>
    <w:rsid w:val="00FA500B"/>
    <w:rsid w:val="00FC51C3"/>
    <w:rsid w:val="23FB61A4"/>
    <w:rsid w:val="27DF7724"/>
    <w:rsid w:val="3FB479FD"/>
    <w:rsid w:val="3FDFE1CE"/>
    <w:rsid w:val="4BE3562A"/>
    <w:rsid w:val="5478621A"/>
    <w:rsid w:val="5FF68B20"/>
    <w:rsid w:val="63DF3668"/>
    <w:rsid w:val="677FACA5"/>
    <w:rsid w:val="75E700E3"/>
    <w:rsid w:val="79F34989"/>
    <w:rsid w:val="7AFBAFF3"/>
    <w:rsid w:val="7C9F3F76"/>
    <w:rsid w:val="7D5F40A9"/>
    <w:rsid w:val="7EBF26B8"/>
    <w:rsid w:val="7FFFE2E0"/>
    <w:rsid w:val="95D4C3C0"/>
    <w:rsid w:val="9ACF174E"/>
    <w:rsid w:val="B53FCBCC"/>
    <w:rsid w:val="BB37CF7C"/>
    <w:rsid w:val="BB8F1854"/>
    <w:rsid w:val="BF7F93F8"/>
    <w:rsid w:val="BFBFFFBE"/>
    <w:rsid w:val="BFFBFC03"/>
    <w:rsid w:val="D67AE7C8"/>
    <w:rsid w:val="DFEC1EF2"/>
    <w:rsid w:val="EEB758B2"/>
    <w:rsid w:val="EF9FA2AB"/>
    <w:rsid w:val="EFBF9F91"/>
    <w:rsid w:val="EFCFF656"/>
    <w:rsid w:val="F0EF31D8"/>
    <w:rsid w:val="F1F2F6FB"/>
    <w:rsid w:val="FBCD059C"/>
    <w:rsid w:val="FDDB34A8"/>
    <w:rsid w:val="FE5C046F"/>
    <w:rsid w:val="FE893D58"/>
    <w:rsid w:val="FEFF17D2"/>
    <w:rsid w:val="FF27301F"/>
    <w:rsid w:val="FFFF208F"/>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2">
    <w:name w:val="Normal Indent"/>
    <w:basedOn w:val="1"/>
    <w:link w:val="22"/>
    <w:qFormat/>
    <w:uiPriority w:val="0"/>
    <w:pPr>
      <w:widowControl/>
      <w:snapToGrid w:val="0"/>
      <w:spacing w:line="360" w:lineRule="auto"/>
      <w:ind w:left="630" w:leftChars="100" w:rightChars="100" w:firstLine="426" w:firstLineChars="200"/>
    </w:pPr>
    <w:rPr>
      <w:kern w:val="0"/>
      <w:sz w:val="24"/>
      <w:szCs w:val="21"/>
    </w:rPr>
  </w:style>
  <w:style w:type="paragraph" w:styleId="3">
    <w:name w:val="caption"/>
    <w:basedOn w:val="1"/>
    <w:next w:val="1"/>
    <w:qFormat/>
    <w:uiPriority w:val="35"/>
    <w:rPr>
      <w:rFonts w:ascii="Cambria" w:hAnsi="Cambria" w:eastAsia="黑体" w:cs="Times New Roman"/>
      <w:sz w:val="20"/>
      <w:szCs w:val="20"/>
    </w:rPr>
  </w:style>
  <w:style w:type="paragraph" w:styleId="4">
    <w:name w:val="Body Text"/>
    <w:basedOn w:val="1"/>
    <w:link w:val="17"/>
    <w:qFormat/>
    <w:uiPriority w:val="0"/>
    <w:pPr>
      <w:spacing w:after="120"/>
    </w:pPr>
  </w:style>
  <w:style w:type="paragraph" w:styleId="5">
    <w:name w:val="Balloon Text"/>
    <w:basedOn w:val="1"/>
    <w:link w:val="23"/>
    <w:qFormat/>
    <w:uiPriority w:val="0"/>
    <w:rPr>
      <w:sz w:val="18"/>
      <w:szCs w:val="18"/>
    </w:r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8">
    <w:name w:val="Body Text First Indent"/>
    <w:basedOn w:val="4"/>
    <w:link w:val="16"/>
    <w:unhideWhenUsed/>
    <w:qFormat/>
    <w:uiPriority w:val="0"/>
    <w:pPr>
      <w:spacing w:line="320" w:lineRule="atLeast"/>
      <w:ind w:firstLine="420"/>
    </w:pPr>
    <w:rPr>
      <w:szCs w:val="20"/>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page number"/>
    <w:basedOn w:val="11"/>
    <w:qFormat/>
    <w:uiPriority w:val="0"/>
  </w:style>
  <w:style w:type="paragraph" w:customStyle="1" w:styleId="14">
    <w:name w:val="缩进"/>
    <w:basedOn w:val="1"/>
    <w:qFormat/>
    <w:uiPriority w:val="0"/>
    <w:pPr>
      <w:spacing w:line="300" w:lineRule="auto"/>
      <w:ind w:firstLine="420" w:firstLineChars="200"/>
    </w:pPr>
    <w:rPr>
      <w:rFonts w:eastAsia="宋体"/>
      <w:sz w:val="24"/>
    </w:rPr>
  </w:style>
  <w:style w:type="paragraph" w:customStyle="1" w:styleId="15">
    <w:name w:val="图题"/>
    <w:basedOn w:val="1"/>
    <w:qFormat/>
    <w:uiPriority w:val="0"/>
    <w:pPr>
      <w:spacing w:line="300" w:lineRule="auto"/>
      <w:ind w:firstLine="0" w:firstLineChars="0"/>
      <w:jc w:val="center"/>
    </w:pPr>
    <w:rPr>
      <w:rFonts w:hint="default" w:ascii="Times New Roman" w:hAnsi="Times New Roman"/>
      <w:sz w:val="21"/>
    </w:rPr>
  </w:style>
  <w:style w:type="character" w:customStyle="1" w:styleId="16">
    <w:name w:val="正文首行缩进 字符"/>
    <w:basedOn w:val="17"/>
    <w:link w:val="8"/>
    <w:qFormat/>
    <w:uiPriority w:val="0"/>
  </w:style>
  <w:style w:type="character" w:customStyle="1" w:styleId="17">
    <w:name w:val="正文文本 字符"/>
    <w:link w:val="4"/>
    <w:qFormat/>
    <w:uiPriority w:val="0"/>
    <w:rPr>
      <w:kern w:val="2"/>
      <w:sz w:val="21"/>
      <w:szCs w:val="24"/>
    </w:rPr>
  </w:style>
  <w:style w:type="paragraph" w:customStyle="1" w:styleId="18">
    <w:name w:val="居中"/>
    <w:basedOn w:val="1"/>
    <w:link w:val="20"/>
    <w:qFormat/>
    <w:uiPriority w:val="0"/>
    <w:pPr>
      <w:spacing w:line="360" w:lineRule="auto"/>
      <w:jc w:val="center"/>
      <w:textAlignment w:val="center"/>
    </w:pPr>
    <w:rPr>
      <w:color w:val="000000"/>
      <w:sz w:val="24"/>
    </w:rPr>
  </w:style>
  <w:style w:type="paragraph" w:customStyle="1" w:styleId="19">
    <w:name w:val="MTDisplayEquation"/>
    <w:basedOn w:val="1"/>
    <w:next w:val="1"/>
    <w:link w:val="21"/>
    <w:qFormat/>
    <w:uiPriority w:val="0"/>
    <w:pPr>
      <w:tabs>
        <w:tab w:val="center" w:pos="4820"/>
        <w:tab w:val="right" w:pos="9640"/>
      </w:tabs>
      <w:spacing w:line="360" w:lineRule="auto"/>
      <w:ind w:firstLine="480" w:firstLineChars="200"/>
      <w:textAlignment w:val="center"/>
    </w:pPr>
    <w:rPr>
      <w:color w:val="000000"/>
      <w:sz w:val="24"/>
    </w:rPr>
  </w:style>
  <w:style w:type="character" w:customStyle="1" w:styleId="20">
    <w:name w:val="居中 Char"/>
    <w:link w:val="18"/>
    <w:qFormat/>
    <w:uiPriority w:val="0"/>
    <w:rPr>
      <w:color w:val="000000"/>
      <w:kern w:val="2"/>
      <w:sz w:val="24"/>
      <w:szCs w:val="24"/>
    </w:rPr>
  </w:style>
  <w:style w:type="character" w:customStyle="1" w:styleId="21">
    <w:name w:val="MTDisplayEquation Char"/>
    <w:link w:val="19"/>
    <w:qFormat/>
    <w:uiPriority w:val="0"/>
    <w:rPr>
      <w:color w:val="000000"/>
      <w:kern w:val="2"/>
      <w:sz w:val="24"/>
      <w:szCs w:val="24"/>
    </w:rPr>
  </w:style>
  <w:style w:type="character" w:customStyle="1" w:styleId="22">
    <w:name w:val="正文缩进 字符"/>
    <w:link w:val="2"/>
    <w:qFormat/>
    <w:uiPriority w:val="0"/>
    <w:rPr>
      <w:sz w:val="24"/>
      <w:szCs w:val="21"/>
    </w:rPr>
  </w:style>
  <w:style w:type="character" w:customStyle="1" w:styleId="23">
    <w:name w:val="批注框文本 字符"/>
    <w:link w:val="5"/>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oleObject" Target="embeddings/oleObject1.bin"/><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svg"/><Relationship Id="rId14" Type="http://schemas.openxmlformats.org/officeDocument/2006/relationships/image" Target="media/image7.png"/><Relationship Id="rId13" Type="http://schemas.openxmlformats.org/officeDocument/2006/relationships/image" Target="media/image6.svg"/><Relationship Id="rId12" Type="http://schemas.openxmlformats.org/officeDocument/2006/relationships/image" Target="media/image5.png"/><Relationship Id="rId11" Type="http://schemas.openxmlformats.org/officeDocument/2006/relationships/image" Target="media/image4.sv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13</Pages>
  <Words>2017</Words>
  <Characters>11500</Characters>
  <Lines>95</Lines>
  <Paragraphs>26</Paragraphs>
  <TotalTime>29</TotalTime>
  <ScaleCrop>false</ScaleCrop>
  <LinksUpToDate>false</LinksUpToDate>
  <CharactersWithSpaces>13491</CharactersWithSpaces>
  <Application>WPS Office_12.1.2.25838_F1E327BC-269C-435d-A152-05C5408002CA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2017-03-04T08:59:00Z</dcterms:created>
  <dc:creator>HIT</dc:creator>
  <cp:lastModifiedBy>商喜庆</cp:lastModifiedBy>
  <cp:lastPrinted>2024-06-02T14:04:00Z</cp:lastPrinted>
  <dcterms:modified xsi:type="dcterms:W3CDTF">2026-05-24T09:59:33Z</dcterms:modified>
  <cp:revision>84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2052-12.1.2.25838</vt:lpwstr>
  </property>
  <property fmtid="{D5CDD505-2E9C-101B-9397-08002B2CF9AE}" pid="3" name="ICV">
    <vt:lpwstr>5E68151C91453BBED425DA69EC6E1D1E_43</vt:lpwstr>
  </property>
</Properties>
</file>