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c4e37e9eb71c0a1107290eeb18516011e3994d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(Oracle SQL Developer Data Modeler)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 Developer Data Modeler 24.3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DDL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(23 sentencias importadas, 0 fallidas) y se organizó con el diseño automático de la herramienta. Cada tabla muestra</w:t>
      </w:r>
      <w:r>
        <w:rPr>
          <w:lang w:val="es-CO"/>
        </w:rPr>
        <w:t xml:space="preserve"> </w:t>
      </w:r>
      <w:r>
        <w:rPr>
          <w:lang w:val="es-CO"/>
        </w:rPr>
        <w:t xml:space="preserve">sus columnas con el tipo de dato de Oracle y las marcas de Data Modeler: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</w:t>
      </w:r>
      <w:r>
        <w:rPr>
          <w:lang w:val="es-CO"/>
        </w:rPr>
        <w:t xml:space="preserve"> </w:t>
      </w:r>
      <w:r>
        <w:rPr>
          <w:lang w:val="es-CO"/>
        </w:rPr>
        <w:t xml:space="preserve">(llave primaria),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</w:t>
      </w:r>
      <w:r>
        <w:rPr>
          <w:lang w:val="es-CO"/>
        </w:rPr>
        <w:t xml:space="preserve"> </w:t>
      </w:r>
      <w:r>
        <w:rPr>
          <w:lang w:val="es-CO"/>
        </w:rPr>
        <w:t xml:space="preserve">(llave</w:t>
      </w:r>
      <w:r>
        <w:rPr>
          <w:lang w:val="es-CO"/>
        </w:rPr>
        <w:t xml:space="preserve"> </w:t>
      </w:r>
      <w:r>
        <w:rPr>
          <w:lang w:val="es-CO"/>
        </w:rPr>
        <w:t xml:space="preserve">foránea),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U</w:t>
      </w:r>
      <w:r>
        <w:rPr>
          <w:lang w:val="es-CO"/>
        </w:rPr>
        <w:t xml:space="preserve"> </w:t>
      </w:r>
      <w:r>
        <w:rPr>
          <w:lang w:val="es-CO"/>
        </w:rPr>
        <w:t xml:space="preserve">(llave única)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*</w:t>
      </w:r>
      <w:r>
        <w:rPr>
          <w:lang w:val="es-CO"/>
        </w:rPr>
        <w:t xml:space="preserve"> </w:t>
      </w:r>
      <w:r>
        <w:rPr>
          <w:lang w:val="es-CO"/>
        </w:rPr>
        <w:t xml:space="preserve">(columna obligatoria, NOT NULL). En la parte inferior de cada tabla se listan sus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 con nombre (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). Cada llave foránea se dibuja como una línea con pata de gallina en la</w:t>
      </w:r>
      <w:r>
        <w:rPr>
          <w:lang w:val="es-CO"/>
        </w:rPr>
        <w:t xml:space="preserve"> </w:t>
      </w:r>
      <w:r>
        <w:rPr>
          <w:lang w:val="es-CO"/>
        </w:rPr>
        <w:t xml:space="preserve">tabla hija y una flecha hacia la tabla padre; la línea es continua cuando la llave foránea es obligatoria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admite nulos.</w:t>
      </w:r>
    </w:p>
    <w:p>
      <w:pPr>
        <w:pStyle w:val="CaptionedFigure"/>
      </w:pPr>
      <w:r>
        <w:drawing>
          <wp:inline>
            <wp:extent cx="5334000" cy="2089642"/>
            <wp:effectExtent b="0" l="0" r="0" t="0"/>
            <wp:docPr descr="Modelo relacional completo de SIGEVET (Oracle SQL Developer Data Modeler)" title="" id="24" name="Picture"/>
            <a:graphic>
              <a:graphicData uri="http://schemas.openxmlformats.org/drawingml/2006/picture">
                <pic:pic>
                  <pic:nvPicPr>
                    <pic:cNvPr descr="diagramas/png/dm_modelo_relac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9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(Oracle SQL Developer Data Modeler)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4802817"/>
            <wp:effectExtent b="0" l="0" r="0" t="0"/>
            <wp:docPr descr="Ampliación 1: facturación, clientes, mascotas y catálogos geográficos" title="" id="28" name="Picture"/>
            <a:graphic>
              <a:graphicData uri="http://schemas.openxmlformats.org/drawingml/2006/picture">
                <pic:pic>
                  <pic:nvPicPr>
                    <pic:cNvPr descr="diagramas/png/dm_relacional_detalle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802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facturación, clientes, mascotas y catálogos geográficos</w:t>
      </w:r>
    </w:p>
    <w:p>
      <w:pPr>
        <w:pStyle w:val="CaptionedFigure"/>
      </w:pPr>
      <w:r>
        <w:drawing>
          <wp:inline>
            <wp:extent cx="4533900" cy="5072765"/>
            <wp:effectExtent b="0" l="0" r="0" t="0"/>
            <wp:docPr descr="Ampliación 2: sedes, empleados, veterinarios y especialidades" title="" id="31" name="Picture"/>
            <a:graphic>
              <a:graphicData uri="http://schemas.openxmlformats.org/drawingml/2006/picture">
                <pic:pic>
                  <pic:nvPicPr>
                    <pic:cNvPr descr="diagramas/png/dm_relacional_detalle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07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sedes, empleados, veterinarios y especialidades</w:t>
      </w:r>
    </w:p>
    <w:p>
      <w:pPr>
        <w:pStyle w:val="CaptionedFigure"/>
      </w:pPr>
      <w:r>
        <w:drawing>
          <wp:inline>
            <wp:extent cx="4533900" cy="4931293"/>
            <wp:effectExtent b="0" l="0" r="0" t="0"/>
            <wp:docPr descr="Ampliación 3: servicios, citas, consultas, medicamentos, prescripción e inventario" title="" id="34" name="Picture"/>
            <a:graphic>
              <a:graphicData uri="http://schemas.openxmlformats.org/drawingml/2006/picture">
                <pic:pic>
                  <pic:nvPicPr>
                    <pic:cNvPr descr="diagramas/png/dm_relacional_detalle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31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servicios, citas, consultas, medicamentos, prescripción e inventario</w:t>
      </w:r>
    </w:p>
    <w:p>
      <w:pPr>
        <w:pStyle w:val="FirstParagraph"/>
      </w:pPr>
      <w:r>
        <w:rPr>
          <w:lang w:val="es-CO"/>
        </w:rPr>
        <w:t xml:space="preserve">Los archivos originales en PNG, PDF y SVG, y el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,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2026-10-20T19:23:19Z</dcterms:created>
  <dcterms:modified xsi:type="dcterms:W3CDTF">2026-10-20T19:23:19Z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