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726b4a7419d239b278cff10aeb5f3fb80ee48c2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integra el caso simulado de Huella Sana S.A.S. mediante un esquema relacional de 22 tablas, modelos conceptuales y lógicos, scripts, datos de prueba y una aplicación de consulta. Este acta documenta el balance del proyecto de Bases de Datos 1 y la aceptación de los productos dentro de un horizonte de 14 semanas.</w:t>
      </w:r>
    </w:p>
    <w:p>
      <w:pPr>
        <w:pStyle w:val="BodyText"/>
      </w:pPr>
      <w:r>
        <w:rPr>
          <w:lang w:val="es-CO"/>
        </w:rPr>
        <w:t xml:space="preserve">Los estados de entrega corresponden al registro académico del equipo; la aceptación formal del docente se expresa mediante su firma. No se atribuye aceptación a una clínica real ni se declara una puesta en producción.</w:t>
      </w:r>
    </w:p>
    <w:p>
      <w:pPr>
        <w:pStyle w:val="Heading1"/>
      </w:pPr>
      <w:bookmarkStart w:id="20" w:name="_1992514e03816565542901f784711a971d33dd9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 de objetivos</w:t>
      </w:r>
      <w:bookmarkEnd w:id="20"/>
    </w:p>
    <w:p>
      <w:pPr>
        <w:pStyle w:val="TableCaption"/>
      </w:pPr>
      <w:r>
        <w:rPr>
          <w:lang w:val="es-CO"/>
        </w:rPr>
        <w:t xml:space="preserve">Balance de objetivos y evidencia documental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de objetivos y evidencia document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 y reglas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Documentados para cinco sedes y sus procesos clínicos y 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conceptual, extendido, lógico y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consistentes y esquema normalizado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Diagramas Chen/EER, archivo de Data Modeler y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coherente con el esquema de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 y comentarios del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ejecutados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álgebra, SQL equivalente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 y 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 Oracle Linux, Oracle Free y conexión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 y demostración de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 y comunicar resultados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 y demostración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 y video de máximo 15 minutos con audio y cámara de los tres integrantes.</w:t>
            </w:r>
          </w:p>
        </w:tc>
      </w:tr>
    </w:tbl>
    <w:p>
      <w:pPr>
        <w:pStyle w:val="Heading1"/>
      </w:pPr>
      <w:bookmarkStart w:id="21" w:name="_02d96d6d85ffd9250119bfcf965f83ed96972e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Registro de entregables</w:t>
      </w:r>
      <w:bookmarkEnd w:id="21"/>
    </w:p>
    <w:p>
      <w:pPr>
        <w:pStyle w:val="TableCaption"/>
      </w:pPr>
      <w:r>
        <w:rPr>
          <w:lang w:val="es-CO"/>
        </w:rPr>
        <w:t xml:space="preserve">Relación de productos presentados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lación de productos presentado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Modeler), con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de creación de objetos, inserción de registros y varios, con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demostración, máximo 15 minutos, todos con 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de 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 y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Cronograma, Excel y 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 y 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36e479aae5f7d1ff327e530545acd9068372e2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balance de recursos</w:t>
      </w:r>
      <w:bookmarkEnd w:id="22"/>
    </w:p>
    <w:p>
      <w:pPr>
        <w:pStyle w:val="TableCaption"/>
      </w:pPr>
      <w:r>
        <w:rPr>
          <w:lang w:val="es-CO"/>
        </w:rPr>
        <w:t xml:space="preserve">Balance académico de ajustes menores dentro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académico de ajustes menores dentro de la línea bas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Ajuste de 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sobre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macOS y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4 horas dentro del paquete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de micromamba y Lima; se absorbió en las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circular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Creación posterior de la FK del director mediante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Importación y revisión de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del 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de las 23 sentencias importadas y sus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redistribuciones anteriores son estimaciones de esfuerzo para este balance académico; no constituyen registros de tiempos medidos. No incrementan las 385 horas presupuestadas. Los hitos se conservan en Semana 8, Semana 13 y Semana 14. La valoración base permanece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incluida la reserva de 1.054.900 COP; no se certifican desembolsos ni consumos de reserva sin soportes contables.</w:t>
      </w:r>
    </w:p>
    <w:p>
      <w:pPr>
        <w:pStyle w:val="Heading1"/>
      </w:pPr>
      <w:bookmarkStart w:id="23" w:name="_d8dc9fec5b9d0aac75a65a85027a286d9af5ac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 aprendidas</w:t>
      </w:r>
      <w:bookmarkEnd w:id="23"/>
    </w:p>
    <w:p>
      <w:pPr>
        <w:pStyle w:val="TableCaption"/>
      </w:pPr>
      <w:r>
        <w:rPr>
          <w:lang w:val="es-CO"/>
        </w:rPr>
        <w:t xml:space="preserve">Lecciones técnicas y de colaboración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 técnicas y de colaboración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 del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posterior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 en el entorno empleado; se utilizaron micromamba y 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Verificar arquitectura y disponibilidad de paquetes antes de fijar instrucciones de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circular SEDE–EMPLEADO impedía crear ambas referencias en una sola secuencia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las tablas primero y agregar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 FK del director; documentar el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modelos, diccionario y scripts alineados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cambio del modelo se aplica a la vez en Data Modeler, el diccionario y los scripts SQL, y se valida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se verificaron ejecutándolos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expresión, SQL y resultado; no aceptar consultas únicamente por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modelo se importó en Oracle SQL Developer Data Modeler: 23 sentencias importadas y 0 fallidas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la revisión de importación y distinguir número de sentencias de número de tablas.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permitió trabajo colaborativo y revisión de aportes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por paquetes, revisar diferencias antes de integrar y conservar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limita el acceso de la demostración 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separados el esquema dueño y la cuenta de aplicación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Se entrega al docente el repositorio con fuentes, scripts, modelos y documentación, así como los archivos finales y el video. El equipo conserva las instrucciones de reconstrucción y conexión; la revisión de la entrega exige comprobar correspondencia entre fuentes y productos generados, legibilidad y participación de todos los integrantes.</w:t>
      </w:r>
    </w:p>
    <w:p>
      <w:pPr>
        <w:pStyle w:val="BodyText"/>
      </w:pPr>
      <w:r>
        <w:rPr>
          <w:lang w:val="es-CO"/>
        </w:rPr>
        <w:t xml:space="preserve">No se transfieren servicios productivos ni obligaciones de soporte a Huella Sana, por tratarse de una organización ficticia. Las exclusiones de la propuesta siguen vigentes. El gerente consolida observaciones de sustentación y el patrocinador determina su aceptación académica. Los espacios de firma no representan aprobaciones ya otorgadas.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2026-10-20T19:23:48Z</dcterms:created>
  <dcterms:modified xsi:type="dcterms:W3CDTF">2026-10-20T19:23:48Z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