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Supuestos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propósito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Propósito</w:t>
      </w:r>
      <w:bookmarkEnd w:id="19"/>
    </w:p>
    <w:p>
      <w:pPr>
        <w:pStyle w:val="FirstParagraph"/>
      </w:pPr>
      <w:r>
        <w:rPr>
          <w:lang w:val="es-CO"/>
        </w:rPr>
        <w:t xml:space="preserve">Este documento registra los supuestos, reglas de negocio y restricciones que el equipo asumió para modelar SIGEVET.</w:t>
      </w:r>
      <w:r>
        <w:rPr>
          <w:lang w:val="es-CO"/>
        </w:rPr>
        <w:t xml:space="preserve"> </w:t>
      </w:r>
      <w:r>
        <w:rPr>
          <w:lang w:val="es-CO"/>
        </w:rPr>
        <w:t xml:space="preserve">Cada supuesto explica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por qué</w:t>
      </w:r>
      <w:r>
        <w:rPr>
          <w:lang w:val="es-CO"/>
        </w:rPr>
        <w:t xml:space="preserve"> </w:t>
      </w:r>
      <w:r>
        <w:rPr>
          <w:lang w:val="es-CO"/>
        </w:rPr>
        <w:t xml:space="preserve">el modelo tiene una cardinalidad, una participación, un atributo o una restricción</w:t>
      </w:r>
      <w:r>
        <w:rPr>
          <w:lang w:val="es-CO"/>
        </w:rPr>
        <w:t xml:space="preserve"> </w:t>
      </w:r>
      <w:r>
        <w:rPr>
          <w:lang w:val="es-CO"/>
        </w:rPr>
        <w:t xml:space="preserve">determinada. Si un supuesto cambia, el documento indica qué elemento del modelo se vería afectado.</w:t>
      </w:r>
    </w:p>
    <w:p>
      <w:pPr>
        <w:pStyle w:val="BodyText"/>
      </w:pPr>
      <w:r>
        <w:rPr>
          <w:lang w:val="es-CO"/>
        </w:rPr>
        <w:t xml:space="preserve">Convenciones: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</w:t>
      </w:r>
      <w:r>
        <w:rPr>
          <w:lang w:val="es-CO"/>
        </w:rPr>
        <w:t xml:space="preserve"> </w:t>
      </w:r>
      <w:r>
        <w:rPr>
          <w:lang w:val="es-CO"/>
        </w:rPr>
        <w:t xml:space="preserve">= supuesto de negocio,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RN</w:t>
      </w:r>
      <w:r>
        <w:rPr>
          <w:lang w:val="es-CO"/>
        </w:rPr>
        <w:t xml:space="preserve"> </w:t>
      </w:r>
      <w:r>
        <w:rPr>
          <w:lang w:val="es-CO"/>
        </w:rPr>
        <w:t xml:space="preserve">= regla de negocio que se traduce en una restricción del modelo,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SD</w:t>
      </w:r>
      <w:r>
        <w:rPr>
          <w:lang w:val="es-CO"/>
        </w:rPr>
        <w:t xml:space="preserve"> </w:t>
      </w:r>
      <w:r>
        <w:rPr>
          <w:lang w:val="es-CO"/>
        </w:rPr>
        <w:t xml:space="preserve">= supuesto de datos,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ST</w:t>
      </w:r>
      <w:r>
        <w:rPr>
          <w:lang w:val="es-CO"/>
        </w:rPr>
        <w:t xml:space="preserve"> </w:t>
      </w:r>
      <w:r>
        <w:rPr>
          <w:lang w:val="es-CO"/>
        </w:rPr>
        <w:t xml:space="preserve">= supuesto técnico,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R</w:t>
      </w:r>
      <w:r>
        <w:rPr>
          <w:lang w:val="es-CO"/>
        </w:rPr>
        <w:t xml:space="preserve"> </w:t>
      </w:r>
      <w:r>
        <w:rPr>
          <w:lang w:val="es-CO"/>
        </w:rPr>
        <w:t xml:space="preserve">= restricción del proyecto.</w:t>
      </w:r>
    </w:p>
    <w:p>
      <w:pPr>
        <w:pStyle w:val="Heading1"/>
      </w:pPr>
      <w:bookmarkStart w:id="20" w:name="_1147a9b993ad4b0691046f966053a4e65bf61ac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Supuestos de la organización</w:t>
      </w:r>
      <w:bookmarkEnd w:id="20"/>
    </w:p>
    <w:p>
      <w:pPr>
        <w:pStyle w:val="TableCaption"/>
      </w:pPr>
      <w:r>
        <w:rPr>
          <w:lang w:val="es-CO"/>
        </w:rPr>
        <w:t xml:space="preserve">Supuestos de la organización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de la organ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  <w:sz w:val="19"/>
                <w:lang w:val="es-CO"/>
              </w:rPr>
              <w:t xml:space="preserve">Huella Sana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es una sola empresa con varias sedes; toda la información se centraliza en una única base de datos.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sola instancia de MySQL y una sola base de datos (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sede está en una sola ciudad y una ciudad puede tener varias sedes.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UBICAR 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se registran ciudades y departamentos donde hay sedes o clientes.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 y CIUDAD como catálogos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sede tiene exactamente un director, que es un empleado de la red. Un empleado dirige a lo sumo una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DIRIGIR 1:1,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SEDE.id_director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director puede ser veterinario o administrativo.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FK del director apunta a EMPLEADO y no a un subtipo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empleado trabaja en una única sede; si cambia de sede se actualiza el registro (no se guarda historial de traslados).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LABORAR 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sede nueva se registra antes que su director; por eso el director puede quedar temporalmente vacío.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id_director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admite nulos; FK agregada con ALTER TABLE</w:t>
            </w:r>
          </w:p>
        </w:tc>
      </w:tr>
    </w:tbl>
    <w:p>
      <w:pPr>
        <w:pStyle w:val="Heading1"/>
      </w:pPr>
      <w:bookmarkStart w:id="21" w:name="_1bd4952d0531caf90ea25263f21b4b3695a04a8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Supuestos del personal</w:t>
      </w:r>
      <w:bookmarkEnd w:id="21"/>
    </w:p>
    <w:p>
      <w:pPr>
        <w:pStyle w:val="TableCaption"/>
      </w:pPr>
      <w:r>
        <w:rPr>
          <w:lang w:val="es-CO"/>
        </w:rPr>
        <w:t xml:space="preserve">Supuestos del personal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del person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Todo el personal comparte datos comunes (documento, nombres, contacto, salario, sede).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Supertipo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empleado es veterinario, auxiliar o administrativo, pero nunca dos a la vez.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disyunta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</w:t>
            </w: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personal administrativo no requiere atributos propios, por eso no tiene subtipo.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parcial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veterinario puede tener varias especialidades certificadas y una especialidad puede tenerla ningún, uno o varios veterinarios.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CERTIFICAR N:M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tarjeta profesional del veterinario es única en el país.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UQ_VETERINARIO_TARJETA_PROFESIONAL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empleado inactivo se conserva (no se borra) para no perder la trazabilidad de citas y facturas.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EMPLEADO.estado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ACTIVO/INACTIVO</w:t>
            </w:r>
          </w:p>
        </w:tc>
      </w:tr>
    </w:tbl>
    <w:p>
      <w:pPr>
        <w:pStyle w:val="Heading1"/>
      </w:pPr>
      <w:bookmarkStart w:id="22" w:name="_9b5018268813566b52cab10dca03f34a7d5f35d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Supuestos de clientes y mascotas</w:t>
      </w:r>
      <w:bookmarkEnd w:id="22"/>
    </w:p>
    <w:p>
      <w:pPr>
        <w:pStyle w:val="TableCaption"/>
      </w:pPr>
      <w:r>
        <w:rPr>
          <w:lang w:val="es-CO"/>
        </w:rPr>
        <w:t xml:space="preserve">Supuestos de clientes y mascotas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de clientes y mascot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cliente se identifica por tipo y número de documento; no puede registrarse dos veces.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UNIQUE (tipo_documento, num_documento)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cliente puede tener varios teléfonos (móvil, fijo, trabajo) y debe tener al menos uno.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 → tabla TELEFONO_CLIENTE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cliente puede registrarse sin mascotas (por ejemplo, para comprar productos).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POSEER parcial del lado CLIENTE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Toda mascota tiene exactamente un propietario registrado. Si se vende o regala, se cambia el propietario.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POSEER 1:N, FK NOT 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especie de una mascota se determina por su raza; los cruces sin raza definida se registran como raza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“Criollo”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su especie.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RAZA → ESPECIE (evita dependencia transitiva)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fecha de nacimiento puede ser desconocida (mascotas rescatadas).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MASCOTA.fecha_nacimiento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admite nulos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edad no se almacena: se calcula a partir de la fecha de nacimiento.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derivado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edad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microchip es opcional, pero si existe es único.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microchip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UNIQUE y nulo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mascotas fallecidas no se eliminan: se cambia su estado para conservar la historia clínica.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MASCOTA.estado</w:t>
            </w:r>
          </w:p>
        </w:tc>
      </w:tr>
    </w:tbl>
    <w:p>
      <w:pPr>
        <w:pStyle w:val="Heading1"/>
      </w:pPr>
      <w:bookmarkStart w:id="23" w:name="_d64f8fae698423e530187d108a9909ff2520563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Supuestos clínicos</w:t>
      </w:r>
      <w:bookmarkEnd w:id="23"/>
    </w:p>
    <w:p>
      <w:pPr>
        <w:pStyle w:val="TableCaption"/>
      </w:pPr>
      <w:r>
        <w:rPr>
          <w:lang w:val="es-CO"/>
        </w:rPr>
        <w:t xml:space="preserve">Supuestos clínicos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clínic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mascota tiene una sola historia clínica, compartida por todas las sedes, que se abre al registrarla.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TENER 1:1 con participación total en ambos lados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cita es para una sola mascota, con un solo veterinario, en una sede y para un servicio.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con cuatro FK obligatorias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veterinario no puede tener dos citas a la misma fecha y hora.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UNIQUE (id_veterinario, fecha_hora)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veterinario de la cita debe pertenecer a la sede de la cita. Esta regla depende de dos tablas y se controla en la capa de aplicación o con un disparador (Fase 2).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Regla RN-08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urgencias también se registran como una cita (con el servicio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“Consulta de urgencias”</w:t>
            </w:r>
            <w:r>
              <w:rPr>
                <w:sz w:val="19"/>
                <w:lang w:val="es-CO"/>
              </w:rPr>
              <w:t xml:space="preserve">); así toda consulta proviene de una cita.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GENERAR 1:1, CONSULTA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las citas atendidas generan consulta; una cita genera a lo sumo una consulta.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CONSULTA.id_cita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consulta puede ser asistida por un auxiliar o por ninguno.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ASISTIR 1:N parcial, FK nula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 una consulta se pueden formular varios medicamentos y un medicamento aparece en muchas consultas; cada fórmula tiene dosis, frecuencia, duración y cantidad.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PRESCRIBIR N:M con atributos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mismo medicamento no se formula dos veces en la misma consulta (se ajusta la dosis).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 (id_consulta, id_medicamento)</w:t>
            </w:r>
          </w:p>
        </w:tc>
      </w:tr>
    </w:tbl>
    <w:p>
      <w:pPr>
        <w:pStyle w:val="Heading1"/>
      </w:pPr>
      <w:bookmarkStart w:id="24" w:name="_63085d5bb6cfceaed90407dc4542799d8a9b884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Supuestos comerciales</w:t>
      </w:r>
      <w:bookmarkEnd w:id="24"/>
    </w:p>
    <w:p>
      <w:pPr>
        <w:pStyle w:val="TableCaption"/>
      </w:pPr>
      <w:r>
        <w:rPr>
          <w:lang w:val="es-CO"/>
        </w:rPr>
        <w:t xml:space="preserve">Supuestos comerciales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comerci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sede maneja su propio inventario de cada medicamento con un stock mínimo de reorden.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ALMACENAR N:M (tabla INVENTARIO)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sede puede no manejar algunos medicamentos.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ALMACENAR parcial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factura pertenece a un cliente, la emite un empleado en una sede y tiene un número consecutivo único.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con 3 FK;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numero_factura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línea de factura cobra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un servicio o un medicamento, nunca ambos</w:t>
            </w:r>
            <w:r>
              <w:rPr>
                <w:sz w:val="19"/>
                <w:lang w:val="es-CO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CK_DETALLE_FACTURA_ITEM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(arco exclusivo)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línea de factura depende de su factura y se identifica por su número de línea dentro de ella.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entidad débil, PK (id_factura, num_linea)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precios cambian en el tiempo; por eso la línea guarda el precio aplicado el día de la venta.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precio_unitario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histórico (no es redundancia)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precios incluyen IVA; el total de la factura se calcula (no se almacena).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Atributos derivados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total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subtotal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factura anulada no se borra; cambia de estado.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FACTURA.estado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red usa cuatro medios de pago: efectivo, tarjeta débito, tarjeta crédito y transferencia.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sobre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metodo_pago</w:t>
            </w:r>
          </w:p>
        </w:tc>
      </w:tr>
    </w:tbl>
    <w:p>
      <w:pPr>
        <w:pStyle w:val="Heading1"/>
      </w:pPr>
      <w:bookmarkStart w:id="25" w:name="_453d4cddba957cffa87412c2eef31be0b9aee03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Reglas de negocio y su implementación</w:t>
      </w:r>
      <w:bookmarkEnd w:id="25"/>
    </w:p>
    <w:p>
      <w:pPr>
        <w:pStyle w:val="TableCaption"/>
      </w:pPr>
      <w:r>
        <w:rPr>
          <w:lang w:val="es-CO"/>
        </w:rPr>
        <w:t xml:space="preserve">Reglas de negocio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glas de negoc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Regla de negocio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Implementación declarativa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códigos DANE tienen 2 dígitos (departamento) y 5 dígitos (municipio).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CHECK (REGEXP_LIKE(...))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salario, los precios y las cantidades son positivos.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CHECK (&gt;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stock actual y el stock mínimo no pueden ser negativos.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CHECK (&gt;=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temperatura registrada está entre 30 °C y 45 °C.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CK_CONSULTA_TEMPERATURA_C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descuento de una línea está entre 0 % y 100 %.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CK_DETALLE_FACTURA_DESCUENTO_PCT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estados válidos de cita son PROGRAMADA, ATENDIDA, CANCELADA y NO_ASISTIO.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CK_CITA_ESTADO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 eliminar una factura se eliminan sus líneas; al eliminar una consulta, su fórmula.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ON DELETE 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veterinario de la cita labora en la sede de la cita.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Disparador o validación en la aplicación (Fase 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subtipo (VETERINARIO/AUXILIAR) solo existe para un empleado con el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correspondiente.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Disparador de validación (Fase 2)</w:t>
            </w:r>
          </w:p>
        </w:tc>
      </w:tr>
    </w:tbl>
    <w:p>
      <w:pPr>
        <w:pStyle w:val="Heading1"/>
      </w:pPr>
      <w:bookmarkStart w:id="26" w:name="_651dc17f485e1a6346988efc0cbfe89dbbee084"/>
      <w:r>
        <w:rPr>
          <w:rStyle w:val="SectionNumber"/>
          <w:lang w:val="es-CO"/>
        </w:rPr>
        <w:t xml:space="preserve">8</w:t>
      </w:r>
      <w:r>
        <w:tab/>
      </w:r>
      <w:r>
        <w:rPr>
          <w:lang w:val="es-CO"/>
        </w:rPr>
        <w:t xml:space="preserve">Supuestos de datos</w:t>
      </w:r>
      <w:bookmarkEnd w:id="26"/>
    </w:p>
    <w:p>
      <w:pPr>
        <w:pStyle w:val="TableCaption"/>
      </w:pPr>
      <w:r>
        <w:rPr>
          <w:lang w:val="es-CO"/>
        </w:rPr>
        <w:t xml:space="preserve">Supuestos de datos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de da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identificadores (</w:t>
            </w:r>
            <w:r>
              <w:rPr>
                <w:rStyle w:val="VerbatimChar"/>
                <w:sz w:val="19"/>
                <w:lang w:val="es-CO"/>
              </w:rPr>
              <w:t xml:space="preserve">id_*</w:t>
            </w:r>
            <w:r>
              <w:rPr>
                <w:sz w:val="19"/>
                <w:lang w:val="es-CO"/>
              </w:rPr>
              <w:t xml:space="preserve">) son llaves sustitutas numéricas generadas por el sistema; los códigos de negocio (documento, número de factura, código DANE, microchip) se protegen con UNIQUE.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nombres se guardan separados en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nombres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apellidos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(atributo compuesto) para poder ordenar y buscar por apellido.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fechas con hora (citas, consultas, facturas) y las fechas de registro usan el tipo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DATETIME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MySQL; las fechas sin hora usan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DATE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valores monetarios están en pesos colombianos con dos decimales (</w:t>
            </w:r>
            <w:r>
              <w:rPr>
                <w:rStyle w:val="VerbatimChar"/>
                <w:sz w:val="19"/>
                <w:lang w:val="es-CO"/>
              </w:rPr>
              <w:t xml:space="preserve">DECIMAL(10,2)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DECIMAL(12,2)</w:t>
            </w:r>
            <w:r>
              <w:rPr>
                <w:sz w:val="19"/>
                <w:lang w:val="es-CO"/>
              </w:rP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datos de prueba son ficticios y se generan de forma reproducible (semilla fija); no contienen datos personales reales.</w:t>
            </w:r>
          </w:p>
        </w:tc>
      </w:tr>
    </w:tbl>
    <w:p>
      <w:pPr>
        <w:pStyle w:val="Heading1"/>
      </w:pPr>
      <w:bookmarkStart w:id="27" w:name="_1005b64eea7626e430581a8b35b13056c216dc0"/>
      <w:r>
        <w:rPr>
          <w:rStyle w:val="SectionNumber"/>
          <w:lang w:val="es-CO"/>
        </w:rPr>
        <w:t xml:space="preserve">9</w:t>
      </w:r>
      <w:r>
        <w:tab/>
      </w:r>
      <w:r>
        <w:rPr>
          <w:lang w:val="es-CO"/>
        </w:rPr>
        <w:t xml:space="preserve">Supuestos técnicos y restricciones del proyecto</w:t>
      </w:r>
      <w:bookmarkEnd w:id="27"/>
    </w:p>
    <w:p>
      <w:pPr>
        <w:pStyle w:val="TableCaption"/>
      </w:pPr>
      <w:r>
        <w:rPr>
          <w:lang w:val="es-CO"/>
        </w:rPr>
        <w:t xml:space="preserve">Supuestos técnicos y restricciones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técnicos y restriccion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 o restricción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RDBMS es MySQL 8.4 LTS sobre Oracle Linux 9 en una máquina virtual, administrado con MySQL Workbench.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edición Free limita el uso a 2 hilos de CPU, 2 GB de RAM y 12 GB de datos, suficiente para el volumen académico.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aplicación web solo lee datos y se conecta con un usuario de solo lectura.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proyecto se desarrolla en 14 semanas por un equipo de 3 estudiantes.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se permite SQL Server; el sistema operativo debe ser Linux o Unix.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Todo el trabajo se versiona en GitHub.</w:t>
            </w:r>
          </w:p>
        </w:tc>
      </w:tr>
    </w:tbl>
    <w:p>
      <w:pPr>
        <w:pStyle w:val="Heading1"/>
      </w:pPr>
      <w:bookmarkStart w:id="28" w:name="_aprobación"/>
      <w:r>
        <w:rPr>
          <w:rStyle w:val="SectionNumber"/>
          <w:lang w:val="es-CO"/>
        </w:rPr>
        <w:t xml:space="preserve">10</w:t>
      </w:r>
      <w:r>
        <w:tab/>
      </w:r>
      <w:r>
        <w:rPr>
          <w:lang w:val="es-CO"/>
        </w:rPr>
        <w:t xml:space="preserve">Aprobación</w:t>
      </w:r>
      <w:bookmarkEnd w:id="28"/>
    </w:p>
    <w:p>
      <w:pPr>
        <w:pStyle w:val="TableCaption"/>
      </w:pPr>
      <w:r>
        <w:rPr>
          <w:lang w:val="es-CO"/>
        </w:rPr>
        <w:t xml:space="preserve">Aprobación de los supuestos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robación de los supues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Documento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Firma</w:t>
            </w: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1117506677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1031811214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1025528586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Docente / patrocinador</w:t>
            </w:r>
          </w:p>
        </w:tc>
        <w:tc>
          <w:tcPr/>
          <w:p>
            <w:pPr>
              <w:pStyle w:val="Compact"/>
            </w:pP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Supuestos — SIGEVET</dc:title>
  <dc:creator>Sebastián Castellanos Parra, Juan David Polo Herrera, Juan Miguel Ramos</dc:creator>
  <dc:language>es-CO</dc:language>
  <cp:keywords/>
  <dcterms:created xsi:type="dcterms:W3CDTF">2026-10-26T17:05:36Z</dcterms:created>
  <dcterms:modified xsi:type="dcterms:W3CDTF">2026-10-26T17:05:36Z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Documento de Supuestos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