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los modelos lógicos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, elaborados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Draw.io</w:t>
      </w:r>
      <w:r>
        <w:rPr>
          <w:lang w:val="es-CO"/>
        </w:rPr>
        <w:t xml:space="preserve"> </w:t>
      </w:r>
      <w:r>
        <w:rPr>
          <w:lang w:val="es-CO"/>
        </w:rPr>
        <w:t xml:space="preserve">a partir del esquema de 22 tablas y 30 llaves foráneas. Las hojas lógicas omiten los tipos SQL; la vista física del documento 6 los incluye. Las relaciones N:M originan VETERINARIO_ESPECIALIDAD, PRESCRIPCION e INVENTARIO; el teléfono multivaluado origina TELEFONO_CLIENTE. Los archivos históricos de Workbench se conservan como respaldo; la versión vigente es la de Draw.io.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que cruza la línea junto a una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forma parte del identificador de esa entidad (relación identificadora)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CIUDAD debe pertenecer a un DEPARTAMENTO (mitad junto a CIUDAD continua; extremo DEPARTAMENTO sin pata). Un DEPARTAMENTO puede tener ciudades (mitad junto a DEPARTAMENTO discontinua; extremo CIUDAD con pata). La obligatoriedad de cada mitad corresponde a la entidad junto a esa mitad.</w:t>
      </w:r>
    </w:p>
    <w:p>
      <w:pPr>
        <w:pStyle w:val="CaptionedFigure"/>
      </w:pPr>
      <w:r>
        <w:drawing>
          <wp:inline>
            <wp:extent cx="5334000" cy="4796652"/>
            <wp:effectExtent b="0" l="0" r="0" t="0"/>
            <wp:docPr descr="Modelo de SIGEVET en notación Barker (Draw.io)" title="" id="22" name="Picture"/>
            <a:graphic>
              <a:graphicData uri="http://schemas.openxmlformats.org/drawingml/2006/picture">
                <pic:pic>
                  <pic:nvPicPr>
                    <pic:cNvPr descr="diagramas/png/15_Barker_Glob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representa la especialización llevada a tablas (opción 8A del documento de</w:t>
      </w:r>
      <w:r>
        <w:rPr>
          <w:lang w:val="es-CO"/>
        </w:rPr>
        <w:t xml:space="preserve"> </w:t>
      </w:r>
      <w:r>
        <w:rPr>
          <w:lang w:val="es-CO"/>
        </w:rPr>
        <w:t xml:space="preserve">modelo extendido). Las relaciones ATENDER (con CITA), CERTIFICAR y ASISTIR se conectan al subtipo.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marcan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 </w:t>
      </w:r>
      <w:r>
        <w:rPr>
          <w:lang w:val="es-CO"/>
        </w:rPr>
        <w:t xml:space="preserve">las columnas del UID heredadas de la entidad padre.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DIRIGIR, TENER y GENERAR no tienen pata de gallina en ningún extremo.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LABORAR (1:N) y DIRIGIR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4820695"/>
            <wp:effectExtent b="0" l="0" r="0" t="0"/>
            <wp:docPr descr="MER de SIGEVET en notación Crow’s Foot (Draw.io)" title="" id="27" name="Picture"/>
            <a:graphic>
              <a:graphicData uri="http://schemas.openxmlformats.org/drawingml/2006/picture">
                <pic:pic>
                  <pic:nvPicPr>
                    <pic:cNvPr descr="diagramas/png/19_CrowsFoot_Glob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Las marcas #, * y o indican identificador, atributo obligatorio y atributo opcional; PK/FK y UQn identifican llaves y grupos UNIQUE. Las líneas identificadoras son continuas y las demás, discontinuas. Las cardinalidades se derivan del DDL: el padre puede tener cero hijos y UNIQUE limita el máximo a uno. Las participaciones mínimas conceptuales requieren reglas adicionales.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CERTIFICAR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PRESCRIBIR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ALMACENAR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764cadd5782a225111a09e4979861b01896e3b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y archivos editables en Draw.io</w:t>
      </w:r>
      <w:bookmarkEnd w:id="30"/>
    </w:p>
    <w:p>
      <w:pPr>
        <w:pStyle w:val="FirstParagraph"/>
      </w:pPr>
      <w:r>
        <w:rPr>
          <w:lang w:val="es-CO"/>
        </w:rPr>
        <w:t xml:space="preserve">Se leyó el DDL sin modificarlo, se ubicaron las tablas por área y se dibujaron las relaciones desde nulabilidad, PK, UNIQUE y FK. Barker utiliza dos mitades con obligatoriedad independiente; las llaves foráneas no se escriben como atributos porque las muestra la relación. Crow’s Foot utiliza símbolos de mínimo y máximo. Las hojas por área muestran solo las tablas de esa área.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fuentes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 </w:t>
      </w:r>
      <w:r>
        <w:rPr>
          <w:lang w:val="es-CO"/>
        </w:rPr>
        <w:t xml:space="preserve">y sus exportaciones PNG y PDF son la entrega vigente; 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.mwb</w:t>
      </w:r>
      <w:r>
        <w:rPr>
          <w:lang w:val="es-CO"/>
        </w:rPr>
        <w:t xml:space="preserve"> </w:t>
      </w:r>
      <w:r>
        <w:rPr>
          <w:lang w:val="es-CO"/>
        </w:rPr>
        <w:t xml:space="preserve">y sus exportaciones anteriores quedan como material histórico de respaldo.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2026-10-26T17:05:37Z</dcterms:created>
  <dcterms:modified xsi:type="dcterms:W3CDTF">2026-10-26T17:05:37Z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