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la instalación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en Oracle Linux 9, la creación de 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y sus usuarios, y las pruebas de funcionamiento. La versión instalada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8.4.11</w:t>
      </w:r>
      <w:r>
        <w:rPr>
          <w:lang w:val="es-CO"/>
        </w:rPr>
        <w:t xml:space="preserve">. MySQL Workbench se ejecuta en el equipo anfitrión para administrar y consultar la base.</w:t>
      </w:r>
    </w:p>
    <w:p>
      <w:pPr>
        <w:pStyle w:val="BodyText"/>
      </w:pPr>
      <w:r>
        <w:rPr>
          <w:lang w:val="es-CO"/>
        </w:rPr>
        <w:t xml:space="preserve">La VM definitiva corre con KVM en el computador servidor (un Lenovo con Linux) y 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; la simulación en macOS utiliza Lima. Primero se probó Oracle Database Free y esa versión quedó como respaldo. Las evidencias incluidas corresponden a la implementación actual con MySQL.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del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habilitado para arrancar con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la VM en modo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y usuario de la aplicación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respectivamente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Juego de caracteres y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Desde la carpeta del proyecto, dentro de la VM, se ejecuta el instalador como administrador. El script lee la clave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del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 se versiona: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Pasos de instalación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instal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el servidor y el cliente desde AppStream, sin descargar RPM externos; incluye la política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Define la escucha de red, los caracteres, la zona horaria y la creación de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habilita su arranque automático y establece la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aún no tiene una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el puerto de MySQL cuando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configur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Configuración</w:t>
      </w:r>
      <w:bookmarkEnd w:id="22"/>
    </w:p>
    <w:p>
      <w:pPr>
        <w:pStyle w:val="TableCaption"/>
      </w:pPr>
      <w:r>
        <w:rPr>
          <w:lang w:val="es-CO"/>
        </w:rPr>
        <w:t xml:space="preserve">Configuración de MySQL para SIGEVET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MySQL para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Permite entrar desde Workbench en el anfitrión a través de las interfaces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tildes, ñ y el resto de caracteres Unicode de los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Define el cotejamiento de texto, sin distinguir mayúsculas ni acentos en sus comparaciones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 la zona horaria de Colombia para las fechas y horas de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 el registro binario activo, permite crear funciones y disparadores sin conceder el privilegio global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consulta los paquetes, el estado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, la escucha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3306</w:t>
      </w:r>
      <w:r>
        <w:rPr>
          <w:lang w:val="es-CO"/>
        </w:rPr>
        <w:t xml:space="preserve">, el tamaño y los permisos. La salida guardada confirma el servicio habilitado y activo: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1"/>
      </w:pPr>
      <w:bookmarkStart w:id="23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3"/>
    </w:p>
    <w:p>
      <w:pPr>
        <w:pStyle w:val="FirstParagraph"/>
      </w:pP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. Crea la base y separa la administración de los objetos del acceso de la aplicación: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creación inicial de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de los objetos; sus permisos se limitan a la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los permisos para consultar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web, solo lectura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usuarios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aceptan conexiones desde otros equipos 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. El rol se declara sin host, lo que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. Esto permite usar las cuentas desde Workbench;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permanece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. Las claves 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Heading1"/>
      </w:pPr>
      <w:bookmarkStart w:id="24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4"/>
    </w:p>
    <w:p>
      <w:pPr>
        <w:pStyle w:val="FirstParagraph"/>
      </w:pPr>
      <w:r>
        <w:rPr>
          <w:lang w:val="es-CO"/>
        </w:rPr>
        <w:t xml:space="preserve">La evidencia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muestra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leer los datos y tiene activo el rol de lectura. Los intentos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son rechazados con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1"/>
      </w:pPr>
      <w:bookmarkStart w:id="25" w:name="_60390de225dccce20314d3a2b7543150be11586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con MySQL Workbench</w:t>
      </w:r>
      <w:bookmarkEnd w:id="25"/>
    </w:p>
    <w:p>
      <w:pPr>
        <w:pStyle w:val="FirstParagraph"/>
      </w:pPr>
      <w:r>
        <w:rPr>
          <w:lang w:val="es-CO"/>
        </w:rPr>
        <w:t xml:space="preserve">Se utiliza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anfitrión. Se crea una conexión nueva de tipo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Hostname: 127.0.0.1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Port: 3306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Username: vetdb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Default Schema: sigevet</w:t>
      </w:r>
      <w:r>
        <w:rPr>
          <w:lang w:val="es-CO"/>
        </w:rPr>
        <w:t xml:space="preserve">. Se introduce la clave local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al conectar.</w:t>
      </w:r>
    </w:p>
    <w:p>
      <w:pPr>
        <w:pStyle w:val="BodyText"/>
      </w:pP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requiere el reenvío del puerto de la VM al anfitrión. Desde otro equipo de la red se utiliza la IP del computador servidor, porque los puertos 3306 y 5000 quedan abiertos a la red local. Desde Workbench se pueden ejecutar los scripts SQL, revisar el esquema y abrir el modelo EER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de la Fase 1, con notación Crow’s Foot.</w:t>
      </w:r>
    </w:p>
    <w:p>
      <w:pPr>
        <w:pStyle w:val="TableCaption"/>
      </w:pPr>
      <w:r>
        <w:rPr>
          <w:lang w:val="es-CO"/>
        </w:rPr>
        <w:t xml:space="preserve">Cadenas de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denas de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 por defecto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Java (Spring Boot) con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clave por separado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URL JDBC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corresponde a la aplicación dentro de la VM. Si el cliente está en otro equipo sin reenvío, se reemplaza el host por la IP de la VM.</w:t>
      </w:r>
    </w:p>
    <w:p>
      <w:pPr>
        <w:pStyle w:val="Heading1"/>
      </w:pPr>
      <w:bookmarkStart w:id="26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6"/>
    </w:p>
    <w:p>
      <w:pPr>
        <w:pStyle w:val="TableCaption"/>
      </w:pPr>
      <w:r>
        <w:rPr>
          <w:lang w:val="es-CO"/>
        </w:rPr>
        <w:t xml:space="preserve">Comandos de operación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andos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el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cargar el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la base y cargarla de nuevo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versión, objetos e ingresos por 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opción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antes de reconstruirla; se utiliza para repetir la carga de prueba.</w:t>
      </w:r>
    </w:p>
    <w:p>
      <w:pPr>
        <w:pStyle w:val="Heading1"/>
      </w:pPr>
      <w:bookmarkStart w:id="27" w:name="_resultados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Resultados</w:t>
      </w:r>
      <w:bookmarkEnd w:id="27"/>
    </w:p>
    <w:p>
      <w:pPr>
        <w:pStyle w:val="FirstParagraph"/>
      </w:pPr>
      <w:r>
        <w:rPr>
          <w:lang w:val="es-CO"/>
        </w:rPr>
        <w:t xml:space="preserve">La carga completa tarda aproximadamente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, finalización correcta y los siguientes objetos:</w:t>
      </w:r>
    </w:p>
    <w:p>
      <w:pPr>
        <w:pStyle w:val="TableCaption"/>
      </w:pPr>
      <w:r>
        <w:rPr>
          <w:lang w:val="es-CO"/>
        </w:rPr>
        <w:t xml:space="preserve">Resultados de la carga y verificación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 de la carga y ver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pruebas comprueban claves foráneas,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 y reglas implementadas con disparadores. La base con sus datos e índices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, según la suma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, mostrada en la evidencia del RDBMS.</w:t>
      </w:r>
    </w:p>
    <w:p>
      <w:pPr>
        <w:pStyle w:val="Heading1"/>
      </w:pPr>
      <w:bookmarkStart w:id="28" w:name="_aa292a5dc647d481753a00f7af48c75075ba935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Consideraciones y soluciones</w:t>
      </w:r>
      <w:bookmarkEnd w:id="28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 de los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NLS ya no aplica. La base usa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carga se ejecuta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la prueba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durante la carga y las consultas de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usan un archivo de opciones temporal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para que la clave de conexión no aparezca en la línea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respeta la escritura de los nombres, porque MySQL distingue mayúsculas y minúsculas en este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Expresiones en 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analizador de 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las fechas de registro utilizan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definen en procedimientos llamados desde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2026-10-26T17:05:42Z</dcterms:created>
  <dcterms:modified xsi:type="dcterms:W3CDTF">2026-10-26T17:05:42Z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