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1" name="Picture 1"/>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Acta de constitución del proyecto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Transversal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55085ed7f53ac4cefa9067792b4403f494bc18c"/>
      <w:r>
        <w:rPr>
          <w:rStyle w:val="SectionNumber"/>
          <w:lang w:val="es-CO"/>
        </w:rPr>
        <w:t xml:space="preserve">1</w:t>
      </w:r>
      <w:r>
        <w:tab/>
      </w:r>
      <w:r>
        <w:rPr>
          <w:lang w:val="es-CO"/>
        </w:rPr>
        <w:t xml:space="preserve">Autorización y justificación</w:t>
      </w:r>
      <w:bookmarkEnd w:id="19"/>
    </w:p>
    <w:p>
      <w:pPr>
        <w:pStyle w:val="FirstParagraph"/>
      </w:pPr>
      <w:r>
        <w:rPr>
          <w:lang w:val="es-CO"/>
        </w:rPr>
        <w:t xml:space="preserve">Se constituye SIGEVET, Sistema Integral de Gestión Veterinaria, como proyecto académico de Bases de Datos 1 de la Universidad El Bosque. Su propósito es integrar la información de las cinco sedes de la organización ficticia Huella Sana S.A.S.: Usaquén, Chapinero, Chía, Laureles y San Fernando.</w:t>
      </w:r>
    </w:p>
    <w:p>
      <w:pPr>
        <w:pStyle w:val="BodyText"/>
      </w:pPr>
      <w:r>
        <w:rPr>
          <w:lang w:val="es-CO"/>
        </w:rPr>
        <w:t xml:space="preserve">Las agendas aisladas, las historias clínicas físicas y la facturación sin integración producen duplicidad de clientes, cruces de citas y consultas incompletas entre sedes. Se autoriza construir una base relacional centralizada y una aplicación web de consulta para demostrar integridad y trazabilidad clínica, operativa y comercial.</w:t>
      </w:r>
    </w:p>
    <w:p>
      <w:pPr>
        <w:pStyle w:val="Heading1"/>
      </w:pPr>
      <w:bookmarkStart w:id="20" w:name="_4113d6c817fe1b48f394c0081e980c3f2741787"/>
      <w:r>
        <w:rPr>
          <w:rStyle w:val="SectionNumber"/>
          <w:lang w:val="es-CO"/>
        </w:rPr>
        <w:t xml:space="preserve">2</w:t>
      </w:r>
      <w:r>
        <w:tab/>
      </w:r>
      <w:r>
        <w:rPr>
          <w:lang w:val="es-CO"/>
        </w:rPr>
        <w:t xml:space="preserve">Objetivos y criterios de éxito</w:t>
      </w:r>
      <w:bookmarkEnd w:id="20"/>
    </w:p>
    <w:p>
      <w:pPr>
        <w:pStyle w:val="Heading2"/>
      </w:pPr>
      <w:bookmarkStart w:id="21" w:name="_c64fb550c3e89cc8e7ce1cbb90cf5a950e7566d"/>
      <w:r>
        <w:rPr>
          <w:rStyle w:val="SectionNumber"/>
          <w:lang w:val="es-CO"/>
        </w:rPr>
        <w:t xml:space="preserve">2.1</w:t>
      </w:r>
      <w:r>
        <w:tab/>
      </w:r>
      <w:r>
        <w:rPr>
          <w:lang w:val="es-CO"/>
        </w:rPr>
        <w:t xml:space="preserve">Objetivo general</w:t>
      </w:r>
      <w:bookmarkEnd w:id="21"/>
    </w:p>
    <w:p>
      <w:pPr>
        <w:pStyle w:val="FirstParagraph"/>
      </w:pPr>
      <w:r>
        <w:rPr>
          <w:lang w:val="es-CO"/>
        </w:rPr>
        <w:t xml:space="preserve">Diseñar e implementar SIGEVET en MySQL sobre una máquina virtual Oracle Linux, desde el modelo conceptual hasta la consulta web, para integrar la información de Huella Sana.</w:t>
      </w:r>
    </w:p>
    <w:p>
      <w:pPr>
        <w:pStyle w:val="Heading2"/>
      </w:pPr>
      <w:bookmarkStart w:id="22" w:name="_cb37acc1d3c00bf5df0b06a4f27c7103121ff3b"/>
      <w:r>
        <w:rPr>
          <w:rStyle w:val="SectionNumber"/>
          <w:lang w:val="es-CO"/>
        </w:rPr>
        <w:t xml:space="preserve">2.2</w:t>
      </w:r>
      <w:r>
        <w:tab/>
      </w:r>
      <w:r>
        <w:rPr>
          <w:lang w:val="es-CO"/>
        </w:rPr>
        <w:t xml:space="preserve">Objetivos específicos</w:t>
      </w:r>
      <w:bookmarkEnd w:id="22"/>
    </w:p>
    <w:p>
      <w:pPr>
        <w:pStyle w:val="Compact"/>
        <w:numPr>
          <w:ilvl w:val="0"/>
          <w:numId w:val="1001"/>
        </w:numPr>
      </w:pPr>
      <w:r>
        <w:rPr>
          <w:lang w:val="es-CO"/>
        </w:rPr>
        <w:t xml:space="preserve">Documentar requerimientos, supuestos y reglas de negocio de las cinco sedes.</w:t>
      </w:r>
    </w:p>
    <w:p>
      <w:pPr>
        <w:pStyle w:val="Compact"/>
        <w:numPr>
          <w:ilvl w:val="0"/>
          <w:numId w:val="1001"/>
        </w:numPr>
      </w:pPr>
      <w:r>
        <w:rPr>
          <w:lang w:val="es-CO"/>
        </w:rPr>
        <w:t xml:space="preserve">Elaborar MER Chen, MER Extendido y modelos lógico y relacional en MySQL Workbench.</w:t>
      </w:r>
    </w:p>
    <w:p>
      <w:pPr>
        <w:pStyle w:val="Compact"/>
        <w:numPr>
          <w:ilvl w:val="0"/>
          <w:numId w:val="1001"/>
        </w:numPr>
      </w:pPr>
      <w:r>
        <w:rPr>
          <w:lang w:val="es-CO"/>
        </w:rPr>
        <w:t xml:space="preserve">Normalizar las 22 tablas del esquema a tercera forma normal y documentar tipos, dominios y restricciones.</w:t>
      </w:r>
    </w:p>
    <w:p>
      <w:pPr>
        <w:pStyle w:val="Compact"/>
        <w:numPr>
          <w:ilvl w:val="0"/>
          <w:numId w:val="1001"/>
        </w:numPr>
      </w:pPr>
      <w:r>
        <w:rPr>
          <w:lang w:val="es-CO"/>
        </w:rPr>
        <w:t xml:space="preserve">Verificar 55 ejercicios de álgebra relacional mediante sus consultas equivalentes y datos de prueba.</w:t>
      </w:r>
    </w:p>
    <w:p>
      <w:pPr>
        <w:pStyle w:val="Compact"/>
        <w:numPr>
          <w:ilvl w:val="0"/>
          <w:numId w:val="1001"/>
        </w:numPr>
      </w:pPr>
      <w:r>
        <w:rPr>
          <w:lang w:val="es-CO"/>
        </w:rPr>
        <w:t xml:space="preserve">Implementar VM, RDBMS y scripts reproducibles, y conectar la aplicación Java (Spring Boot) con el usuario de consulta</w:t>
      </w:r>
      <w:r>
        <w:rPr>
          <w:lang w:val="es-CO"/>
        </w:rPr>
        <w:t xml:space="preserve"> </w:t>
      </w:r>
      <w:r>
        <w:rPr>
          <w:rStyle w:val="VerbatimChar"/>
          <w:lang w:val="es-CO"/>
        </w:rPr>
        <w:t xml:space="preserve">vet_app</w:t>
      </w:r>
      <w:r>
        <w:rPr>
          <w:lang w:val="es-CO"/>
        </w:rPr>
        <w:t xml:space="preserve">.</w:t>
      </w:r>
    </w:p>
    <w:p>
      <w:pPr>
        <w:pStyle w:val="Compact"/>
        <w:numPr>
          <w:ilvl w:val="0"/>
          <w:numId w:val="1001"/>
        </w:numPr>
      </w:pPr>
      <w:r>
        <w:rPr>
          <w:lang w:val="es-CO"/>
        </w:rPr>
        <w:t xml:space="preserve">Mantener aportes verificables en Git/GitHub y presentar una demostración de máximo 15 minutos con audio y cámara de todos los integrantes.</w:t>
      </w:r>
    </w:p>
    <w:p>
      <w:pPr>
        <w:pStyle w:val="FirstParagraph"/>
      </w:pPr>
      <w:r>
        <w:rPr>
          <w:lang w:val="es-CO"/>
        </w:rPr>
        <w:t xml:space="preserve">Se considera satisfactorio el proyecto cuando el docente valida los entregables oficiales, los scripts reconstruyen la base</w:t>
      </w:r>
      <w:r>
        <w:rPr>
          <w:lang w:val="es-CO"/>
        </w:rPr>
        <w:t xml:space="preserve"> </w:t>
      </w:r>
      <w:r>
        <w:rPr>
          <w:rStyle w:val="VerbatimChar"/>
          <w:lang w:val="es-CO"/>
        </w:rPr>
        <w:t xml:space="preserve">sigevet</w:t>
      </w:r>
      <w:r>
        <w:rPr>
          <w:lang w:val="es-CO"/>
        </w:rPr>
        <w:t xml:space="preserve">, las consultas producen los resultados esperados y la aplicación acredita acceso de solo lectura. La validación de Fase 1 se ubica en Semana 8, la de Fase 2 en Semana 13 y el cierre en Semana 14.</w:t>
      </w:r>
    </w:p>
    <w:p>
      <w:pPr>
        <w:pStyle w:val="Heading1"/>
      </w:pPr>
      <w:bookmarkStart w:id="23" w:name="_ec7ad293da536eafda195fa3827b90667ba02ae"/>
      <w:r>
        <w:rPr>
          <w:rStyle w:val="SectionNumber"/>
          <w:lang w:val="es-CO"/>
        </w:rPr>
        <w:t xml:space="preserve">3</w:t>
      </w:r>
      <w:r>
        <w:tab/>
      </w:r>
      <w:r>
        <w:rPr>
          <w:lang w:val="es-CO"/>
        </w:rPr>
        <w:t xml:space="preserve">Alcance autorizado</w:t>
      </w:r>
      <w:bookmarkEnd w:id="23"/>
    </w:p>
    <w:p>
      <w:pPr>
        <w:pStyle w:val="Heading2"/>
      </w:pPr>
      <w:bookmarkStart w:id="24" w:name="_incluye"/>
      <w:r>
        <w:rPr>
          <w:rStyle w:val="SectionNumber"/>
          <w:lang w:val="es-CO"/>
        </w:rPr>
        <w:t xml:space="preserve">3.1</w:t>
      </w:r>
      <w:r>
        <w:tab/>
      </w:r>
      <w:r>
        <w:rPr>
          <w:lang w:val="es-CO"/>
        </w:rPr>
        <w:t xml:space="preserve">Incluye</w:t>
      </w:r>
      <w:bookmarkEnd w:id="24"/>
    </w:p>
    <w:p>
      <w:pPr>
        <w:pStyle w:val="FirstParagraph"/>
      </w:pPr>
      <w:r>
        <w:rPr>
          <w:lang w:val="es-CO"/>
        </w:rPr>
        <w:t xml:space="preserve">Estructura geográfica y sedes con director; empleados, veterinarios, auxiliares y especialidades; clientes con teléfonos; mascotas, razas y especies; historia clínica única por mascota; citas y consultas; prescripciones; inventario por sede y stock mínimo; facturas y sus detalles. Incluye modelado, normalización, implementación, datos ficticios y consultas web de demostración. Las operaciones de registro se demuestran mediante SQL; la aplicación web permite únicamente lectura.</w:t>
      </w:r>
    </w:p>
    <w:p>
      <w:pPr>
        <w:pStyle w:val="Heading2"/>
      </w:pPr>
      <w:bookmarkStart w:id="25" w:name="_5090ea5fa095a9e39e31543e3badf9d7947365f"/>
      <w:r>
        <w:rPr>
          <w:rStyle w:val="SectionNumber"/>
          <w:lang w:val="es-CO"/>
        </w:rPr>
        <w:t xml:space="preserve">3.2</w:t>
      </w:r>
      <w:r>
        <w:tab/>
      </w:r>
      <w:r>
        <w:rPr>
          <w:lang w:val="es-CO"/>
        </w:rPr>
        <w:t xml:space="preserve">No incluye</w:t>
      </w:r>
      <w:bookmarkEnd w:id="25"/>
    </w:p>
    <w:p>
      <w:pPr>
        <w:pStyle w:val="FirstParagraph"/>
      </w:pPr>
      <w:r>
        <w:rPr>
          <w:lang w:val="es-CO"/>
        </w:rPr>
        <w:t xml:space="preserve">Facturación electrónica ante la DIAN, nómina, contabilidad, pagos en línea, compras a proveedores, lotes o vencimientos de medicamentos, autenticación de usuarios finales, aplicación móvil, alta disponibilidad ni réplicas. No se compromete una puesta en producción en clínicas reales.</w:t>
      </w:r>
    </w:p>
    <w:p>
      <w:pPr>
        <w:pStyle w:val="Heading1"/>
      </w:pPr>
      <w:bookmarkStart w:id="26" w:name="_9414921b14caf6c114b1f981cf2b035f3e7c2a6"/>
      <w:r>
        <w:rPr>
          <w:rStyle w:val="SectionNumber"/>
          <w:lang w:val="es-CO"/>
        </w:rPr>
        <w:t xml:space="preserve">4</w:t>
      </w:r>
      <w:r>
        <w:tab/>
      </w:r>
      <w:r>
        <w:rPr>
          <w:lang w:val="es-CO"/>
        </w:rPr>
        <w:t xml:space="preserve">Entregables por fase</w:t>
      </w:r>
      <w:bookmarkEnd w:id="26"/>
    </w:p>
    <w:p>
      <w:pPr>
        <w:pStyle w:val="TableCaption"/>
      </w:pPr>
      <w:r>
        <w:rPr>
          <w:lang w:val="es-CO"/>
        </w:rPr>
        <w:t xml:space="preserve">Productos sujetos a aceptación académica</w:t>
      </w:r>
    </w:p>
    <w:tbl>
      <w:tblPr>
        <w:tblStyle w:val="Table"/>
        <w:tblW w:type="pct" w:w="5000"/>
        <w:tblLayout w:type="fixed"/>
        <w:tblLook w:firstRow="1" w:lastRow="0" w:firstColumn="0" w:lastColumn="0" w:noHBand="0" w:noVBand="0" w:val="0020"/>
        <w:tblCaption w:val="Productos sujetos a aceptación académica"/>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Fase</w:t>
            </w:r>
          </w:p>
        </w:tc>
        <w:tc>
          <w:tcPr>
            <w:shd w:val="clear" w:fill="FBE5CC"/>
          </w:tcPr>
          <w:p>
            <w:pPr>
              <w:pStyle w:val="Compact"/>
            </w:pPr>
            <w:r>
              <w:rPr>
                <w:b/>
                <w:sz w:val="19"/>
                <w:lang w:val="es-CO"/>
              </w:rPr>
              <w:t xml:space="preserve">Entregables oficiales</w:t>
            </w:r>
          </w:p>
        </w:tc>
      </w:tr>
      <w:tr>
        <w:tc>
          <w:tcPr/>
          <w:p>
            <w:pPr>
              <w:pStyle w:val="Compact"/>
            </w:pPr>
            <w:r>
              <w:rPr>
                <w:sz w:val="19"/>
                <w:lang w:val="es-CO"/>
              </w:rPr>
              <w:t xml:space="preserve">Fase 1</w:t>
            </w:r>
          </w:p>
        </w:tc>
        <w:tc>
          <w:tcPr/>
          <w:p>
            <w:pPr>
              <w:pStyle w:val="Compact"/>
            </w:pPr>
            <w:r>
              <w:rPr>
                <w:sz w:val="19"/>
                <w:lang w:val="es-CO"/>
              </w:rPr>
              <w:t xml:space="preserve">Propuesta del proyecto; Documento de supuestos; MER notación Peter Chen; MER Extendido; MER Barker / Crow’s Foot (MySQL Workbench); Modelo relacional Crow’s Foot (MySQL Workbench); Diccionario de datos; Documento de álgebra relacional (55 ejercicios).</w:t>
            </w:r>
          </w:p>
        </w:tc>
      </w:tr>
      <w:tr>
        <w:tc>
          <w:tcPr/>
          <w:p>
            <w:pPr>
              <w:pStyle w:val="Compact"/>
            </w:pPr>
            <w:r>
              <w:rPr>
                <w:sz w:val="19"/>
                <w:lang w:val="es-CO"/>
              </w:rPr>
              <w:t xml:space="preserve">Fase 2</w:t>
            </w:r>
          </w:p>
        </w:tc>
        <w:tc>
          <w:tcPr/>
          <w:p>
            <w:pPr>
              <w:pStyle w:val="Compact"/>
            </w:pPr>
            <w:r>
              <w:rPr>
                <w:sz w:val="19"/>
                <w:lang w:val="es-CO"/>
              </w:rPr>
              <w:t xml:space="preserve">Análisis de selección de SO; Implementación de la VM; Análisis de selección de RDBMS; Implementación del RDBMS; Scripts de creación de objetos, inserción de registros y varios con README; Conexión de la aplicación web; Repositorio Git; Video de demostración de máximo 15 minutos, con todos los integrantes con audio y cámara.</w:t>
            </w:r>
          </w:p>
        </w:tc>
      </w:tr>
      <w:tr>
        <w:tc>
          <w:tcPr/>
          <w:p>
            <w:pPr>
              <w:pStyle w:val="Compact"/>
            </w:pPr>
            <w:r>
              <w:rPr>
                <w:sz w:val="19"/>
                <w:lang w:val="es-CO"/>
              </w:rPr>
              <w:t xml:space="preserve">Transversal</w:t>
            </w:r>
          </w:p>
        </w:tc>
        <w:tc>
          <w:tcPr/>
          <w:p>
            <w:pPr>
              <w:pStyle w:val="Compact"/>
            </w:pPr>
            <w:r>
              <w:rPr>
                <w:sz w:val="19"/>
                <w:lang w:val="es-CO"/>
              </w:rPr>
              <w:t xml:space="preserve">Acta de constitución; Identificación de interesados; EDT/WBS; Cronograma; Presupuesto; Acta de cierre.</w:t>
            </w:r>
          </w:p>
        </w:tc>
      </w:tr>
    </w:tbl>
    <w:p>
      <w:pPr>
        <w:pStyle w:val="FirstParagraph"/>
      </w:pPr>
      <w:r>
        <w:rPr>
          <w:lang w:val="es-CO"/>
        </w:rPr>
        <w:t xml:space="preserve">La normalización forma parte del modelo relacional y tiene paquete propio en la EDT; no sustituye ningún entregable oficial.</w:t>
      </w:r>
    </w:p>
    <w:p>
      <w:pPr>
        <w:pStyle w:val="Heading1"/>
      </w:pPr>
      <w:bookmarkStart w:id="27" w:name="_10ff8d6f2282a4d379fff7019cda0bb7c6d2136"/>
      <w:r>
        <w:rPr>
          <w:rStyle w:val="SectionNumber"/>
          <w:lang w:val="es-CO"/>
        </w:rPr>
        <w:t xml:space="preserve">5</w:t>
      </w:r>
      <w:r>
        <w:tab/>
      </w:r>
      <w:r>
        <w:rPr>
          <w:lang w:val="es-CO"/>
        </w:rPr>
        <w:t xml:space="preserve">Hitos de control</w:t>
      </w:r>
      <w:bookmarkEnd w:id="27"/>
    </w:p>
    <w:p>
      <w:pPr>
        <w:pStyle w:val="TableCaption"/>
      </w:pPr>
      <w:r>
        <w:rPr>
          <w:lang w:val="es-CO"/>
        </w:rPr>
        <w:t xml:space="preserve">Secuencia de hitos autorizada</w:t>
      </w:r>
    </w:p>
    <w:tbl>
      <w:tblPr>
        <w:tblStyle w:val="Table"/>
        <w:tblW w:type="pct" w:w="5000"/>
        <w:tblLayout w:type="fixed"/>
        <w:tblLook w:firstRow="1" w:lastRow="0" w:firstColumn="0" w:lastColumn="0" w:noHBand="0" w:noVBand="0" w:val="0020"/>
        <w:tblCaption w:val="Secuencia de hitos autorizada"/>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Orden</w:t>
            </w:r>
          </w:p>
        </w:tc>
        <w:tc>
          <w:tcPr>
            <w:shd w:val="clear" w:fill="FBE5CC"/>
          </w:tcPr>
          <w:p>
            <w:pPr>
              <w:pStyle w:val="Compact"/>
            </w:pPr>
            <w:r>
              <w:rPr>
                <w:b/>
                <w:sz w:val="19"/>
                <w:lang w:val="es-CO"/>
              </w:rPr>
              <w:t xml:space="preserve">Hito</w:t>
            </w:r>
          </w:p>
        </w:tc>
        <w:tc>
          <w:tcPr>
            <w:shd w:val="clear" w:fill="FBE5CC"/>
          </w:tcPr>
          <w:p>
            <w:pPr>
              <w:pStyle w:val="Compact"/>
            </w:pPr>
            <w:r>
              <w:rPr>
                <w:b/>
                <w:sz w:val="19"/>
                <w:lang w:val="es-CO"/>
              </w:rPr>
              <w:t xml:space="preserve">Referencia temporal</w:t>
            </w:r>
          </w:p>
        </w:tc>
      </w:tr>
      <w:tr>
        <w:tc>
          <w:tcPr/>
          <w:p>
            <w:pPr>
              <w:pStyle w:val="Compact"/>
            </w:pPr>
            <w:r>
              <w:rPr>
                <w:sz w:val="19"/>
                <w:lang w:val="es-CO"/>
              </w:rPr>
              <w:t xml:space="preserve">1</w:t>
            </w:r>
          </w:p>
        </w:tc>
        <w:tc>
          <w:tcPr/>
          <w:p>
            <w:pPr>
              <w:pStyle w:val="Compact"/>
            </w:pPr>
            <w:r>
              <w:rPr>
                <w:sz w:val="19"/>
                <w:lang w:val="es-CO"/>
              </w:rPr>
              <w:t xml:space="preserve">Inicio y constitución del proyecto</w:t>
            </w:r>
          </w:p>
        </w:tc>
        <w:tc>
          <w:tcPr/>
          <w:p>
            <w:pPr>
              <w:pStyle w:val="Compact"/>
            </w:pPr>
            <w:r>
              <w:rPr>
                <w:sz w:val="19"/>
                <w:lang w:val="es-CO"/>
              </w:rPr>
              <w:t xml:space="preserve">Semana 1</w:t>
            </w:r>
          </w:p>
        </w:tc>
      </w:tr>
      <w:tr>
        <w:tc>
          <w:tcPr/>
          <w:p>
            <w:pPr>
              <w:pStyle w:val="Compact"/>
            </w:pPr>
            <w:r>
              <w:rPr>
                <w:sz w:val="19"/>
                <w:lang w:val="es-CO"/>
              </w:rPr>
              <w:t xml:space="preserve">2</w:t>
            </w:r>
          </w:p>
        </w:tc>
        <w:tc>
          <w:tcPr/>
          <w:p>
            <w:pPr>
              <w:pStyle w:val="Compact"/>
            </w:pPr>
            <w:r>
              <w:rPr>
                <w:sz w:val="19"/>
                <w:lang w:val="es-CO"/>
              </w:rPr>
              <w:t xml:space="preserve">Envío de la propuesta y la Fase 1 para validación del docente</w:t>
            </w:r>
          </w:p>
        </w:tc>
        <w:tc>
          <w:tcPr/>
          <w:p>
            <w:pPr>
              <w:pStyle w:val="Compact"/>
            </w:pPr>
            <w:r>
              <w:rPr>
                <w:sz w:val="19"/>
                <w:lang w:val="es-CO"/>
              </w:rPr>
              <w:t xml:space="preserve">Semana 8</w:t>
            </w:r>
          </w:p>
        </w:tc>
      </w:tr>
      <w:tr>
        <w:tc>
          <w:tcPr/>
          <w:p>
            <w:pPr>
              <w:pStyle w:val="Compact"/>
            </w:pPr>
            <w:r>
              <w:rPr>
                <w:sz w:val="19"/>
                <w:lang w:val="es-CO"/>
              </w:rPr>
              <w:t xml:space="preserve">3</w:t>
            </w:r>
          </w:p>
        </w:tc>
        <w:tc>
          <w:tcPr/>
          <w:p>
            <w:pPr>
              <w:pStyle w:val="Compact"/>
            </w:pPr>
            <w:r>
              <w:rPr>
                <w:sz w:val="19"/>
                <w:lang w:val="es-CO"/>
              </w:rPr>
              <w:t xml:space="preserve">Entrega de la Fase 2</w:t>
            </w:r>
          </w:p>
        </w:tc>
        <w:tc>
          <w:tcPr/>
          <w:p>
            <w:pPr>
              <w:pStyle w:val="Compact"/>
            </w:pPr>
            <w:r>
              <w:rPr>
                <w:sz w:val="19"/>
                <w:lang w:val="es-CO"/>
              </w:rPr>
              <w:t xml:space="preserve">Semana 13</w:t>
            </w:r>
          </w:p>
        </w:tc>
      </w:tr>
      <w:tr>
        <w:tc>
          <w:tcPr/>
          <w:p>
            <w:pPr>
              <w:pStyle w:val="Compact"/>
            </w:pPr>
            <w:r>
              <w:rPr>
                <w:sz w:val="19"/>
                <w:lang w:val="es-CO"/>
              </w:rPr>
              <w:t xml:space="preserve">4</w:t>
            </w:r>
          </w:p>
        </w:tc>
        <w:tc>
          <w:tcPr/>
          <w:p>
            <w:pPr>
              <w:pStyle w:val="Compact"/>
            </w:pPr>
            <w:r>
              <w:rPr>
                <w:sz w:val="19"/>
                <w:lang w:val="es-CO"/>
              </w:rPr>
              <w:t xml:space="preserve">Sustentación, aceptación y cierre</w:t>
            </w:r>
          </w:p>
        </w:tc>
        <w:tc>
          <w:tcPr/>
          <w:p>
            <w:pPr>
              <w:pStyle w:val="Compact"/>
            </w:pPr>
            <w:r>
              <w:rPr>
                <w:sz w:val="19"/>
                <w:lang w:val="es-CO"/>
              </w:rPr>
              <w:t xml:space="preserve">Semana 14</w:t>
            </w:r>
          </w:p>
        </w:tc>
      </w:tr>
    </w:tbl>
    <w:p>
      <w:pPr>
        <w:pStyle w:val="Heading1"/>
      </w:pPr>
      <w:bookmarkStart w:id="28" w:name="_0caac6ff0415741a1a77f0aacb66dd6b598261a"/>
      <w:r>
        <w:rPr>
          <w:rStyle w:val="SectionNumber"/>
          <w:lang w:val="es-CO"/>
        </w:rPr>
        <w:t xml:space="preserve">6</w:t>
      </w:r>
      <w:r>
        <w:tab/>
      </w:r>
      <w:r>
        <w:rPr>
          <w:lang w:val="es-CO"/>
        </w:rPr>
        <w:t xml:space="preserve">Supuestos y restricciones</w:t>
      </w:r>
      <w:bookmarkEnd w:id="28"/>
    </w:p>
    <w:p>
      <w:pPr>
        <w:pStyle w:val="FirstParagraph"/>
      </w:pPr>
      <w:r>
        <w:rPr>
          <w:lang w:val="es-CO"/>
        </w:rPr>
        <w:t xml:space="preserve">Se supone disponibilidad de los tres integrantes y de sus portátiles, acceso a Internet y retroalimentación del docente en las revisiones. Los actores de Huella Sana son perfiles simulados; el equipo valida reglas del caso con el docente, sin atribuir entrevistas a una empresa real.</w:t>
      </w:r>
    </w:p>
    <w:p>
      <w:pPr>
        <w:pStyle w:val="BodyText"/>
      </w:pPr>
      <w:r>
        <w:rPr>
          <w:lang w:val="es-CO"/>
        </w:rPr>
        <w:t xml:space="preserve">El horizonte es de 14 semanas y 385 horas de esfuerzo distribuido, sin dedicación exclusiva. Se utilizarán Oracle Linux 9, MySQL 8.4 LTS con MySQL Workbench, una VM con KVM en el computador servidor (con simulación previa en Lima en macOS) y Java con Spring Boot (sin ORM), dentro de la VM de 6 GB prevista en la propuesta. Los datos serán ficticios y el esquema de consulta tendrá privilegios mínimos. El medio de virtualización se adecúa al equipo anfitrión sin cambiar el alcance funcional.</w:t>
      </w:r>
    </w:p>
    <w:p>
      <w:pPr>
        <w:pStyle w:val="Heading1"/>
      </w:pPr>
      <w:bookmarkStart w:id="29" w:name="_4a723c2c1a0d42708c69df282f5800ac7e5fd19"/>
      <w:r>
        <w:rPr>
          <w:rStyle w:val="SectionNumber"/>
          <w:lang w:val="es-CO"/>
        </w:rPr>
        <w:t xml:space="preserve">7</w:t>
      </w:r>
      <w:r>
        <w:tab/>
      </w:r>
      <w:r>
        <w:rPr>
          <w:lang w:val="es-CO"/>
        </w:rPr>
        <w:t xml:space="preserve">Riesgos de alto nivel</w:t>
      </w:r>
      <w:bookmarkEnd w:id="29"/>
    </w:p>
    <w:p>
      <w:pPr>
        <w:pStyle w:val="TableCaption"/>
      </w:pPr>
      <w:r>
        <w:rPr>
          <w:lang w:val="es-CO"/>
        </w:rPr>
        <w:t xml:space="preserve">Riesgos y respuestas iniciales</w:t>
      </w:r>
    </w:p>
    <w:tbl>
      <w:tblPr>
        <w:tblStyle w:val="Table"/>
        <w:tblW w:type="pct" w:w="5000"/>
        <w:tblLayout w:type="fixed"/>
        <w:tblLook w:firstRow="1" w:lastRow="0" w:firstColumn="0" w:lastColumn="0" w:noHBand="0" w:noVBand="0" w:val="0020"/>
        <w:tblCaption w:val="Riesgos y respuestas iniciale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Probabilidad / impacto</w:t>
            </w:r>
          </w:p>
        </w:tc>
        <w:tc>
          <w:tcPr>
            <w:shd w:val="clear" w:fill="FBE5CC"/>
          </w:tcPr>
          <w:p>
            <w:pPr>
              <w:pStyle w:val="Compact"/>
            </w:pPr>
            <w:r>
              <w:rPr>
                <w:b/>
                <w:sz w:val="19"/>
                <w:lang w:val="es-CO"/>
              </w:rPr>
              <w:t xml:space="preserve">Respuesta y responsable</w:t>
            </w:r>
          </w:p>
        </w:tc>
      </w:tr>
      <w:tr>
        <w:tc>
          <w:tcPr/>
          <w:p>
            <w:pPr>
              <w:pStyle w:val="Compact"/>
            </w:pPr>
            <w:r>
              <w:rPr>
                <w:sz w:val="19"/>
                <w:lang w:val="es-CO"/>
              </w:rPr>
              <w:t xml:space="preserve">Recursos insuficientes o incompatibilidad de virtualización</w:t>
            </w:r>
          </w:p>
        </w:tc>
        <w:tc>
          <w:tcPr/>
          <w:p>
            <w:pPr>
              <w:pStyle w:val="Compact"/>
            </w:pPr>
            <w:r>
              <w:rPr>
                <w:sz w:val="19"/>
                <w:lang w:val="es-CO"/>
              </w:rPr>
              <w:t xml:space="preserve">Media / Alto</w:t>
            </w:r>
          </w:p>
        </w:tc>
        <w:tc>
          <w:tcPr/>
          <w:p>
            <w:pPr>
              <w:pStyle w:val="Compact"/>
            </w:pPr>
            <w:r>
              <w:rPr>
                <w:sz w:val="19"/>
                <w:lang w:val="es-CO"/>
              </w:rPr>
              <w:t xml:space="preserve">Validar arquitectura, memoria y arranque antes de instalar MySQL; Juan Miguel Ramos.</w:t>
            </w:r>
          </w:p>
        </w:tc>
      </w:tr>
      <w:tr>
        <w:tc>
          <w:tcPr/>
          <w:p>
            <w:pPr>
              <w:pStyle w:val="Compact"/>
            </w:pPr>
            <w:r>
              <w:rPr>
                <w:sz w:val="19"/>
                <w:lang w:val="es-CO"/>
              </w:rPr>
              <w:t xml:space="preserve">Cambios tardíos de alcance</w:t>
            </w:r>
          </w:p>
        </w:tc>
        <w:tc>
          <w:tcPr/>
          <w:p>
            <w:pPr>
              <w:pStyle w:val="Compact"/>
            </w:pPr>
            <w:r>
              <w:rPr>
                <w:sz w:val="19"/>
                <w:lang w:val="es-CO"/>
              </w:rPr>
              <w:t xml:space="preserve">Media / Medio</w:t>
            </w:r>
          </w:p>
        </w:tc>
        <w:tc>
          <w:tcPr/>
          <w:p>
            <w:pPr>
              <w:pStyle w:val="Compact"/>
            </w:pPr>
            <w:r>
              <w:rPr>
                <w:sz w:val="19"/>
                <w:lang w:val="es-CO"/>
              </w:rPr>
              <w:t xml:space="preserve">Registrar solicitud, estimar horas e impacto y obtener validación del docente; Juan David Polo Herrera.</w:t>
            </w:r>
          </w:p>
        </w:tc>
      </w:tr>
      <w:tr>
        <w:tc>
          <w:tcPr/>
          <w:p>
            <w:pPr>
              <w:pStyle w:val="Compact"/>
            </w:pPr>
            <w:r>
              <w:rPr>
                <w:sz w:val="19"/>
                <w:lang w:val="es-CO"/>
              </w:rPr>
              <w:t xml:space="preserve">Cardinalidades o restricciones incorrectas</w:t>
            </w:r>
          </w:p>
        </w:tc>
        <w:tc>
          <w:tcPr/>
          <w:p>
            <w:pPr>
              <w:pStyle w:val="Compact"/>
            </w:pPr>
            <w:r>
              <w:rPr>
                <w:sz w:val="19"/>
                <w:lang w:val="es-CO"/>
              </w:rPr>
              <w:t xml:space="preserve">Baja / Alto</w:t>
            </w:r>
          </w:p>
        </w:tc>
        <w:tc>
          <w:tcPr/>
          <w:p>
            <w:pPr>
              <w:pStyle w:val="Compact"/>
            </w:pPr>
            <w:r>
              <w:rPr>
                <w:sz w:val="19"/>
                <w:lang w:val="es-CO"/>
              </w:rPr>
              <w:t xml:space="preserve">Revisar modelos, normalización y resultados de 55 consultas; Sebastián Castellanos Parra.</w:t>
            </w:r>
          </w:p>
        </w:tc>
      </w:tr>
      <w:tr>
        <w:tc>
          <w:tcPr/>
          <w:p>
            <w:pPr>
              <w:pStyle w:val="Compact"/>
            </w:pPr>
            <w:r>
              <w:rPr>
                <w:sz w:val="19"/>
                <w:lang w:val="es-CO"/>
              </w:rPr>
              <w:t xml:space="preserve">Aportes desiguales al repositorio</w:t>
            </w:r>
          </w:p>
        </w:tc>
        <w:tc>
          <w:tcPr/>
          <w:p>
            <w:pPr>
              <w:pStyle w:val="Compact"/>
            </w:pPr>
            <w:r>
              <w:rPr>
                <w:sz w:val="19"/>
                <w:lang w:val="es-CO"/>
              </w:rPr>
              <w:t xml:space="preserve">Media / Medio</w:t>
            </w:r>
          </w:p>
        </w:tc>
        <w:tc>
          <w:tcPr/>
          <w:p>
            <w:pPr>
              <w:pStyle w:val="Compact"/>
            </w:pPr>
            <w:r>
              <w:rPr>
                <w:sz w:val="19"/>
                <w:lang w:val="es-CO"/>
              </w:rPr>
              <w:t xml:space="preserve">Asignar paquetes, revisar avances semanalmente y verificar contribuciones; Juan David Polo Herrera.</w:t>
            </w:r>
          </w:p>
        </w:tc>
      </w:tr>
      <w:tr>
        <w:tc>
          <w:tcPr/>
          <w:p>
            <w:pPr>
              <w:pStyle w:val="Compact"/>
            </w:pPr>
            <w:r>
              <w:rPr>
                <w:sz w:val="19"/>
                <w:lang w:val="es-CO"/>
              </w:rPr>
              <w:t xml:space="preserve">Divergencia entre DDL, diccionario y diagramas</w:t>
            </w:r>
          </w:p>
        </w:tc>
        <w:tc>
          <w:tcPr/>
          <w:p>
            <w:pPr>
              <w:pStyle w:val="Compact"/>
            </w:pPr>
            <w:r>
              <w:rPr>
                <w:sz w:val="19"/>
                <w:lang w:val="es-CO"/>
              </w:rPr>
              <w:t xml:space="preserve">Media / Alto</w:t>
            </w:r>
          </w:p>
        </w:tc>
        <w:tc>
          <w:tcPr/>
          <w:p>
            <w:pPr>
              <w:pStyle w:val="Compact"/>
            </w:pPr>
            <w:r>
              <w:rPr>
                <w:sz w:val="19"/>
                <w:lang w:val="es-CO"/>
              </w:rPr>
              <w:t xml:space="preserve">Regenerar desde la especificación común y revisar diferencias; Juan David Polo Herrera.</w:t>
            </w:r>
          </w:p>
        </w:tc>
      </w:tr>
    </w:tbl>
    <w:p>
      <w:pPr>
        <w:pStyle w:val="Heading1"/>
      </w:pPr>
      <w:bookmarkStart w:id="30" w:name="_001469f6a8da11139ae647a1c000523b716b6c4"/>
      <w:r>
        <w:rPr>
          <w:rStyle w:val="SectionNumber"/>
          <w:lang w:val="es-CO"/>
        </w:rPr>
        <w:t xml:space="preserve">8</w:t>
      </w:r>
      <w:r>
        <w:tab/>
      </w:r>
      <w:r>
        <w:rPr>
          <w:lang w:val="es-CO"/>
        </w:rPr>
        <w:t xml:space="preserve">Presupuesto resumido</w:t>
      </w:r>
      <w:bookmarkEnd w:id="30"/>
    </w:p>
    <w:p>
      <w:pPr>
        <w:pStyle w:val="TableCaption"/>
      </w:pPr>
      <w:r>
        <w:rPr>
          <w:lang w:val="es-CO"/>
        </w:rPr>
        <w:t xml:space="preserve">Línea base económica del proyecto</w:t>
      </w:r>
    </w:p>
    <w:tbl>
      <w:tblPr>
        <w:tblStyle w:val="Table"/>
        <w:tblW w:type="auto" w:w="0"/>
        <w:tblLook w:firstRow="1" w:lastRow="0" w:firstColumn="0" w:lastColumn="0" w:noHBand="0" w:noVBand="0" w:val="0020"/>
        <w:tblCaption w:val="Línea base económica del proyect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Rubro</w:t>
            </w:r>
          </w:p>
        </w:tc>
        <w:tc>
          <w:tcPr>
            <w:shd w:val="clear" w:fill="FBE5CC"/>
          </w:tcPr>
          <w:p>
            <w:pPr>
              <w:pStyle w:val="Compact"/>
              <w:jc w:val="right"/>
            </w:pPr>
            <w:r>
              <w:rPr>
                <w:b/>
                <w:sz w:val="19"/>
                <w:lang w:val="es-CO"/>
              </w:rPr>
              <w:t xml:space="preserve">Valor COP</w:t>
            </w:r>
          </w:p>
        </w:tc>
      </w:tr>
      <w:tr>
        <w:tc>
          <w:tcPr/>
          <w:p>
            <w:pPr>
              <w:pStyle w:val="Compact"/>
            </w:pPr>
            <w:r>
              <w:rPr>
                <w:sz w:val="19"/>
                <w:lang w:val="es-CO"/>
              </w:rPr>
              <w:t xml:space="preserve">Talento humano, 385 horas</w:t>
            </w:r>
          </w:p>
        </w:tc>
        <w:tc>
          <w:tcPr/>
          <w:p>
            <w:pPr>
              <w:pStyle w:val="Compact"/>
              <w:jc w:val="right"/>
            </w:pPr>
            <w:r>
              <w:rPr>
                <w:sz w:val="19"/>
                <w:lang w:val="es-CO"/>
              </w:rPr>
              <w:t xml:space="preserve">9.121.000</w:t>
            </w:r>
          </w:p>
        </w:tc>
      </w:tr>
      <w:tr>
        <w:tc>
          <w:tcPr/>
          <w:p>
            <w:pPr>
              <w:pStyle w:val="Compact"/>
            </w:pPr>
            <w:r>
              <w:rPr>
                <w:sz w:val="19"/>
                <w:lang w:val="es-CO"/>
              </w:rPr>
              <w:t xml:space="preserve">Depreciación de tres portátiles</w:t>
            </w:r>
          </w:p>
        </w:tc>
        <w:tc>
          <w:tcPr/>
          <w:p>
            <w:pPr>
              <w:pStyle w:val="Compact"/>
              <w:jc w:val="right"/>
            </w:pPr>
            <w:r>
              <w:rPr>
                <w:sz w:val="19"/>
                <w:lang w:val="es-CO"/>
              </w:rPr>
              <w:t xml:space="preserve">840.000</w:t>
            </w:r>
          </w:p>
        </w:tc>
      </w:tr>
      <w:tr>
        <w:tc>
          <w:tcPr/>
          <w:p>
            <w:pPr>
              <w:pStyle w:val="Compact"/>
            </w:pPr>
            <w:r>
              <w:rPr>
                <w:sz w:val="19"/>
                <w:lang w:val="es-CO"/>
              </w:rPr>
              <w:t xml:space="preserve">Software de uso gratuito</w:t>
            </w:r>
          </w:p>
        </w:tc>
        <w:tc>
          <w:tcPr/>
          <w:p>
            <w:pPr>
              <w:pStyle w:val="Compact"/>
              <w:jc w:val="right"/>
            </w:pPr>
            <w:r>
              <w:rPr>
                <w:sz w:val="19"/>
                <w:lang w:val="es-CO"/>
              </w:rPr>
              <w:t xml:space="preserve">0</w:t>
            </w:r>
          </w:p>
        </w:tc>
      </w:tr>
      <w:tr>
        <w:tc>
          <w:tcPr/>
          <w:p>
            <w:pPr>
              <w:pStyle w:val="Compact"/>
            </w:pPr>
            <w:r>
              <w:rPr>
                <w:sz w:val="19"/>
                <w:lang w:val="es-CO"/>
              </w:rPr>
              <w:t xml:space="preserve">Internet y energía</w:t>
            </w:r>
          </w:p>
        </w:tc>
        <w:tc>
          <w:tcPr/>
          <w:p>
            <w:pPr>
              <w:pStyle w:val="Compact"/>
              <w:jc w:val="right"/>
            </w:pPr>
            <w:r>
              <w:rPr>
                <w:sz w:val="19"/>
                <w:lang w:val="es-CO"/>
              </w:rPr>
              <w:t xml:space="preserve">588.000</w:t>
            </w:r>
          </w:p>
        </w:tc>
      </w:tr>
      <w:tr>
        <w:tc>
          <w:tcPr/>
          <w:p>
            <w:pPr>
              <w:pStyle w:val="Compact"/>
            </w:pPr>
            <w:r>
              <w:rPr>
                <w:sz w:val="19"/>
                <w:lang w:val="es-CO"/>
              </w:rPr>
              <w:t xml:space="preserve">Costo directo</w:t>
            </w:r>
          </w:p>
        </w:tc>
        <w:tc>
          <w:tcPr/>
          <w:p>
            <w:pPr>
              <w:pStyle w:val="Compact"/>
              <w:jc w:val="right"/>
            </w:pPr>
            <w:r>
              <w:rPr>
                <w:sz w:val="19"/>
                <w:lang w:val="es-CO"/>
              </w:rPr>
              <w:t xml:space="preserve">10.549.000</w:t>
            </w:r>
          </w:p>
        </w:tc>
      </w:tr>
      <w:tr>
        <w:tc>
          <w:tcPr/>
          <w:p>
            <w:pPr>
              <w:pStyle w:val="Compact"/>
            </w:pPr>
            <w:r>
              <w:rPr>
                <w:sz w:val="19"/>
                <w:lang w:val="es-CO"/>
              </w:rPr>
              <w:t xml:space="preserve">Imprevistos, 10 % del costo directo</w:t>
            </w:r>
          </w:p>
        </w:tc>
        <w:tc>
          <w:tcPr/>
          <w:p>
            <w:pPr>
              <w:pStyle w:val="Compact"/>
              <w:jc w:val="right"/>
            </w:pPr>
            <w:r>
              <w:rPr>
                <w:sz w:val="19"/>
                <w:lang w:val="es-CO"/>
              </w:rPr>
              <w:t xml:space="preserve">1.054.900</w:t>
            </w:r>
          </w:p>
        </w:tc>
      </w:tr>
      <w:tr>
        <w:tc>
          <w:tcPr/>
          <w:p>
            <w:pPr>
              <w:pStyle w:val="Compact"/>
            </w:pPr>
            <w:r>
              <w:rPr>
                <w:sz w:val="19"/>
                <w:lang w:val="es-CO"/>
              </w:rPr>
              <w:t xml:space="preserve">Total autorizado</w:t>
            </w:r>
          </w:p>
        </w:tc>
        <w:tc>
          <w:tcPr/>
          <w:p>
            <w:pPr>
              <w:pStyle w:val="Compact"/>
              <w:jc w:val="right"/>
            </w:pPr>
            <w:r>
              <w:rPr>
                <w:sz w:val="19"/>
                <w:lang w:val="es-CO"/>
              </w:rPr>
              <w:t xml:space="preserve">11.603.900</w:t>
            </w:r>
          </w:p>
        </w:tc>
      </w:tr>
    </w:tbl>
    <w:p>
      <w:pPr>
        <w:pStyle w:val="FirstParagraph"/>
      </w:pPr>
      <w:r>
        <w:rPr>
          <w:lang w:val="es-CO"/>
        </w:rPr>
        <w:t xml:space="preserve">El presupuesto total es</w:t>
      </w:r>
      <w:r>
        <w:rPr>
          <w:lang w:val="es-CO"/>
        </w:rPr>
        <w:t xml:space="preserve"> </w:t>
      </w:r>
      <w:r>
        <w:rPr>
          <w:b/>
          <w:bCs/>
          <w:lang w:val="es-CO"/>
        </w:rPr>
        <w:t xml:space="preserve">11.603.900 COP</w:t>
      </w:r>
      <w:r>
        <w:rPr>
          <w:lang w:val="es-CO"/>
        </w:rPr>
        <w:t xml:space="preserve"> </w:t>
      </w:r>
      <w:r>
        <w:rPr>
          <w:lang w:val="es-CO"/>
        </w:rPr>
        <w:t xml:space="preserve">y coincide con el presupuesto detallado y el Excel. Valora aportes académicos. El gerente registra el uso de reserva y solicita validación del docente si altera el alcance.</w:t>
      </w:r>
    </w:p>
    <w:p>
      <w:pPr>
        <w:pStyle w:val="Heading1"/>
      </w:pPr>
      <w:bookmarkStart w:id="31" w:name="_7a114399b315ac6d8a6de0d42c7f2e3bb7181d2"/>
      <w:r>
        <w:rPr>
          <w:rStyle w:val="SectionNumber"/>
          <w:lang w:val="es-CO"/>
        </w:rPr>
        <w:t xml:space="preserve">9</w:t>
      </w:r>
      <w:r>
        <w:tab/>
      </w:r>
      <w:r>
        <w:rPr>
          <w:lang w:val="es-CO"/>
        </w:rPr>
        <w:t xml:space="preserve">Dirección y responsabilidades</w:t>
      </w:r>
      <w:bookmarkEnd w:id="31"/>
    </w:p>
    <w:p>
      <w:pPr>
        <w:pStyle w:val="TableCaption"/>
      </w:pPr>
      <w:r>
        <w:rPr>
          <w:lang w:val="es-CO"/>
        </w:rPr>
        <w:t xml:space="preserve">Equipo autorizado y patrocinio académico</w:t>
      </w:r>
    </w:p>
    <w:tbl>
      <w:tblPr>
        <w:tblStyle w:val="Table"/>
        <w:tblW w:type="pct" w:w="5000"/>
        <w:tblLayout w:type="fixed"/>
        <w:tblLook w:firstRow="1" w:lastRow="0" w:firstColumn="0" w:lastColumn="0" w:noHBand="0" w:noVBand="0" w:val="0020"/>
        <w:tblCaption w:val="Equipo autorizado y patrocinio académico"/>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 e identificación</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Responsabilidad y autoridad</w:t>
            </w:r>
          </w:p>
        </w:tc>
      </w:tr>
      <w:tr>
        <w:tc>
          <w:tcPr/>
          <w:p>
            <w:pPr>
              <w:pStyle w:val="Compact"/>
            </w:pPr>
            <w:r>
              <w:rPr>
                <w:sz w:val="19"/>
                <w:lang w:val="es-CO"/>
              </w:rPr>
              <w:t xml:space="preserve">Juan David Polo Herrera (1117506677)</w:t>
            </w:r>
          </w:p>
        </w:tc>
        <w:tc>
          <w:tcPr/>
          <w:p>
            <w:pPr>
              <w:pStyle w:val="Compact"/>
            </w:pPr>
            <w:r>
              <w:rPr>
                <w:sz w:val="19"/>
                <w:lang w:val="es-CO"/>
              </w:rPr>
              <w:t xml:space="preserve">Gerente del proyecto y DBA</w:t>
            </w:r>
          </w:p>
        </w:tc>
        <w:tc>
          <w:tcPr/>
          <w:p>
            <w:pPr>
              <w:pStyle w:val="Compact"/>
            </w:pPr>
            <w:r>
              <w:rPr>
                <w:sz w:val="19"/>
                <w:lang w:val="es-CO"/>
              </w:rPr>
              <w:t xml:space="preserve">Coordinar líneas base, modelo relacional, normalización, scripts y Git.</w:t>
            </w:r>
          </w:p>
        </w:tc>
      </w:tr>
      <w:tr>
        <w:tc>
          <w:tcPr/>
          <w:p>
            <w:pPr>
              <w:pStyle w:val="Compact"/>
            </w:pPr>
            <w:r>
              <w:rPr>
                <w:sz w:val="19"/>
                <w:lang w:val="es-CO"/>
              </w:rPr>
              <w:t xml:space="preserve">Sebastián Castellanos Parra (1031811214)</w:t>
            </w:r>
          </w:p>
        </w:tc>
        <w:tc>
          <w:tcPr/>
          <w:p>
            <w:pPr>
              <w:pStyle w:val="Compact"/>
            </w:pPr>
            <w:r>
              <w:rPr>
                <w:sz w:val="19"/>
                <w:lang w:val="es-CO"/>
              </w:rPr>
              <w:t xml:space="preserve">Analista y modelador de datos</w:t>
            </w:r>
          </w:p>
        </w:tc>
        <w:tc>
          <w:tcPr/>
          <w:p>
            <w:pPr>
              <w:pStyle w:val="Compact"/>
            </w:pPr>
            <w:r>
              <w:rPr>
                <w:sz w:val="19"/>
                <w:lang w:val="es-CO"/>
              </w:rPr>
              <w:t xml:space="preserve">Requerimientos, interesados, supuestos, Chen/EER, modelo lógico y diccionario; verificar trazabilidad.</w:t>
            </w:r>
          </w:p>
        </w:tc>
      </w:tr>
      <w:tr>
        <w:tc>
          <w:tcPr/>
          <w:p>
            <w:pPr>
              <w:pStyle w:val="Compact"/>
            </w:pPr>
            <w:r>
              <w:rPr>
                <w:sz w:val="19"/>
                <w:lang w:val="es-CO"/>
              </w:rPr>
              <w:t xml:space="preserve">Juan Miguel Ramos (1025528586)</w:t>
            </w:r>
          </w:p>
        </w:tc>
        <w:tc>
          <w:tcPr/>
          <w:p>
            <w:pPr>
              <w:pStyle w:val="Compact"/>
            </w:pPr>
            <w:r>
              <w:rPr>
                <w:sz w:val="19"/>
                <w:lang w:val="es-CO"/>
              </w:rPr>
              <w:t xml:space="preserve">Desarrollador web e infraestructura</w:t>
            </w:r>
          </w:p>
        </w:tc>
        <w:tc>
          <w:tcPr/>
          <w:p>
            <w:pPr>
              <w:pStyle w:val="Compact"/>
            </w:pPr>
            <w:r>
              <w:rPr>
                <w:sz w:val="19"/>
                <w:lang w:val="es-CO"/>
              </w:rPr>
              <w:t xml:space="preserve">Álgebra relacional y SQL, análisis de SO, VM, aplicación web y coordinación del video.</w:t>
            </w:r>
          </w:p>
        </w:tc>
      </w:tr>
      <w:tr>
        <w:tc>
          <w:tcPr/>
          <w:p>
            <w:pPr>
              <w:pStyle w:val="Compact"/>
            </w:pPr>
            <w:r>
              <w:rPr>
                <w:sz w:val="19"/>
                <w:lang w:val="es-CO"/>
              </w:rPr>
              <w:t xml:space="preserve">Ing., Esp., M.Ed. Christian Felipe Duarte Arévalo</w:t>
            </w:r>
          </w:p>
        </w:tc>
        <w:tc>
          <w:tcPr/>
          <w:p>
            <w:pPr>
              <w:pStyle w:val="Compact"/>
            </w:pPr>
            <w:r>
              <w:rPr>
                <w:sz w:val="19"/>
                <w:lang w:val="es-CO"/>
              </w:rPr>
              <w:t xml:space="preserve">Docente / patrocinador</w:t>
            </w:r>
          </w:p>
        </w:tc>
        <w:tc>
          <w:tcPr/>
          <w:p>
            <w:pPr>
              <w:pStyle w:val="Compact"/>
            </w:pPr>
            <w:r>
              <w:rPr>
                <w:sz w:val="19"/>
                <w:lang w:val="es-CO"/>
              </w:rPr>
              <w:t xml:space="preserve">Orientar, validar alcance y criterios de aceptación, evaluar fases y autorizar cierre académico; sin financiación monetaria asumida.</w:t>
            </w:r>
          </w:p>
        </w:tc>
      </w:tr>
    </w:tbl>
    <w:p>
      <w:pPr>
        <w:pStyle w:val="Heading1"/>
      </w:pPr>
      <w:bookmarkStart w:id="32" w:name="_aprobación"/>
      <w:r>
        <w:rPr>
          <w:rStyle w:val="SectionNumber"/>
          <w:lang w:val="es-CO"/>
        </w:rPr>
        <w:t xml:space="preserve">10</w:t>
      </w:r>
      <w:r>
        <w:tab/>
      </w:r>
      <w:r>
        <w:rPr>
          <w:lang w:val="es-CO"/>
        </w:rPr>
        <w:t xml:space="preserve">Aprobación</w:t>
      </w:r>
      <w:bookmarkEnd w:id="32"/>
    </w:p>
    <w:p>
      <w:pPr>
        <w:pStyle w:val="FirstParagraph"/>
      </w:pPr>
      <w:r>
        <w:rPr>
          <w:lang w:val="es-CO"/>
        </w:rPr>
        <w:t xml:space="preserve">La firma formaliza la aceptación del alcance y de las líneas base. Los espacios se dejan para sus titulares.</w:t>
      </w:r>
    </w:p>
    <w:p>
      <w:pPr>
        <w:pStyle w:val="TableCaption"/>
      </w:pPr>
      <w:r>
        <w:rPr>
          <w:lang w:val="es-CO"/>
        </w:rPr>
        <w:t xml:space="preserve">Aprobación del acta de constitución</w:t>
      </w:r>
    </w:p>
    <w:tbl>
      <w:tblPr>
        <w:tblStyle w:val="Table"/>
        <w:tblW w:type="pct" w:w="5000"/>
        <w:tblLayout w:type="fixed"/>
        <w:tblLook w:firstRow="1" w:lastRow="0" w:firstColumn="0" w:lastColumn="0" w:noHBand="0" w:noVBand="0" w:val="0020"/>
        <w:tblCaption w:val="Aprobación del acta de constitución"/>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Documento</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Firma</w:t>
            </w:r>
          </w:p>
        </w:tc>
      </w:tr>
      <w:tr>
        <w:trPr>
          <w:trHeight w:val="907"/>
        </w:trPr>
        <w:tc>
          <w:tcPr/>
          <w:p>
            <w:pPr>
              <w:pStyle w:val="Compact"/>
            </w:pPr>
            <w:r>
              <w:rPr>
                <w:sz w:val="19"/>
                <w:lang w:val="es-CO"/>
              </w:rPr>
              <w:t xml:space="preserve">Juan David Polo Herrera</w:t>
            </w:r>
          </w:p>
        </w:tc>
        <w:tc>
          <w:tcPr/>
          <w:p>
            <w:pPr>
              <w:pStyle w:val="Compact"/>
            </w:pPr>
            <w:r>
              <w:rPr>
                <w:sz w:val="19"/>
                <w:lang w:val="es-CO"/>
              </w:rPr>
              <w:t xml:space="preserve">C.C. 1117506677</w:t>
            </w:r>
          </w:p>
        </w:tc>
        <w:tc>
          <w:tcPr/>
          <w:p>
            <w:pPr>
              <w:pStyle w:val="Compact"/>
            </w:pPr>
            <w:r>
              <w:rPr>
                <w:sz w:val="19"/>
                <w:lang w:val="es-CO"/>
              </w:rPr>
              <w:t xml:space="preserve">Gerente del proyecto y DBA</w:t>
            </w:r>
          </w:p>
        </w:tc>
        <w:tc>
          <w:tcPr/>
          <w:p>
            <w:pPr>
              <w:pStyle w:val="Compact"/>
            </w:pPr>
          </w:p>
        </w:tc>
      </w:tr>
      <w:tr>
        <w:trPr>
          <w:trHeight w:val="907"/>
        </w:trPr>
        <w:tc>
          <w:tcPr/>
          <w:p>
            <w:pPr>
              <w:pStyle w:val="Compact"/>
            </w:pPr>
            <w:r>
              <w:rPr>
                <w:sz w:val="19"/>
                <w:lang w:val="es-CO"/>
              </w:rPr>
              <w:t xml:space="preserve">Sebastián Castellanos Parra</w:t>
            </w:r>
          </w:p>
        </w:tc>
        <w:tc>
          <w:tcPr/>
          <w:p>
            <w:pPr>
              <w:pStyle w:val="Compact"/>
            </w:pPr>
            <w:r>
              <w:rPr>
                <w:sz w:val="19"/>
                <w:lang w:val="es-CO"/>
              </w:rPr>
              <w:t xml:space="preserve">C.C. 1031811214</w:t>
            </w:r>
          </w:p>
        </w:tc>
        <w:tc>
          <w:tcPr/>
          <w:p>
            <w:pPr>
              <w:pStyle w:val="Compact"/>
            </w:pPr>
            <w:r>
              <w:rPr>
                <w:sz w:val="19"/>
                <w:lang w:val="es-CO"/>
              </w:rPr>
              <w:t xml:space="preserve">Analista y modelador de datos</w:t>
            </w:r>
          </w:p>
        </w:tc>
        <w:tc>
          <w:tcPr/>
          <w:p>
            <w:pPr>
              <w:pStyle w:val="Compact"/>
            </w:pPr>
          </w:p>
        </w:tc>
      </w:tr>
      <w:tr>
        <w:trPr>
          <w:trHeight w:val="907"/>
        </w:trPr>
        <w:tc>
          <w:tcPr/>
          <w:p>
            <w:pPr>
              <w:pStyle w:val="Compact"/>
            </w:pPr>
            <w:r>
              <w:rPr>
                <w:sz w:val="19"/>
                <w:lang w:val="es-CO"/>
              </w:rPr>
              <w:t xml:space="preserve">Juan Miguel Ramos</w:t>
            </w:r>
          </w:p>
        </w:tc>
        <w:tc>
          <w:tcPr/>
          <w:p>
            <w:pPr>
              <w:pStyle w:val="Compact"/>
            </w:pPr>
            <w:r>
              <w:rPr>
                <w:sz w:val="19"/>
                <w:lang w:val="es-CO"/>
              </w:rPr>
              <w:t xml:space="preserve">C.C. 1025528586</w:t>
            </w:r>
          </w:p>
        </w:tc>
        <w:tc>
          <w:tcPr/>
          <w:p>
            <w:pPr>
              <w:pStyle w:val="Compact"/>
            </w:pPr>
            <w:r>
              <w:rPr>
                <w:sz w:val="19"/>
                <w:lang w:val="es-CO"/>
              </w:rPr>
              <w:t xml:space="preserve">Desarrollador web e infraestructura</w:t>
            </w:r>
          </w:p>
        </w:tc>
        <w:tc>
          <w:tcPr/>
          <w:p>
            <w:pPr>
              <w:pStyle w:val="Compact"/>
            </w:pPr>
          </w:p>
        </w:tc>
      </w:tr>
      <w:tr>
        <w:trPr>
          <w:trHeight w:val="907"/>
        </w:trPr>
        <w:tc>
          <w:tcPr/>
          <w:p>
            <w:pPr>
              <w:pStyle w:val="Compact"/>
            </w:pPr>
            <w:r>
              <w:rPr>
                <w:sz w:val="19"/>
                <w:lang w:val="es-CO"/>
              </w:rPr>
              <w:t xml:space="preserve">Ing., Esp., M.Ed. Christian Felipe Duarte Arévalo</w:t>
            </w:r>
          </w:p>
        </w:tc>
        <w:tc>
          <w:tcPr/>
          <w:p>
            <w:pPr>
              <w:pStyle w:val="Compact"/>
            </w:pPr>
          </w:p>
        </w:tc>
        <w:tc>
          <w:tcPr/>
          <w:p>
            <w:pPr>
              <w:pStyle w:val="Compact"/>
            </w:pPr>
            <w:r>
              <w:rPr>
                <w:sz w:val="19"/>
                <w:lang w:val="es-CO"/>
              </w:rPr>
              <w:t xml:space="preserve">Docente / patrocinador</w:t>
            </w:r>
          </w:p>
        </w:tc>
        <w:tc>
          <w:tcPr/>
          <w:p>
            <w:pPr>
              <w:pStyle w:val="Compact"/>
            </w:pPr>
          </w:p>
        </w:tc>
      </w:tr>
    </w:tbl>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de constitución del proyecto — SIGEVET</dc:title>
  <dc:creator>Sebastián Castellanos Parra, Juan David Polo Herrera, Juan Miguel Ramos</dc:creator>
  <dc:language>es-CO</dc:language>
  <cp:keywords/>
  <dcterms:created xsi:type="dcterms:W3CDTF">2026-10-26T17:05:46Z</dcterms:created>
  <dcterms:modified xsi:type="dcterms:W3CDTF">2026-10-26T17:05:46Z</dcterms:modified>
  <dc:description>Created: [unknown]
Updated: 18:55 24-Oct-2026 — modelos Draw.io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Transversal</vt:lpwstr>
  </property>
  <property fmtid="{D5CDD505-2E9C-101B-9397-08002B2CF9AE}" pid="3" name="subtitle">
    <vt:lpwstr>Acta de constitución del proyecto</vt:lpwstr>
  </property>
  <property fmtid="{D5CDD505-2E9C-101B-9397-08002B2CF9AE}" pid="4" name="toc-title">
    <vt:lpwstr>Tabla de contenido</vt:lpwstr>
  </property>
  <property fmtid="{D5CDD505-2E9C-101B-9397-08002B2CF9AE}" pid="5" name="version">
    <vt:lpwstr>1.0</vt:lpwstr>
  </property>
</Properties>
</file>