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Relacional con notación Crow's Foot y Normalización (3FN)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0120c389c0695813e1df94554ad6be635b65778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Transformación del MER</w:t>
      </w:r>
      <w:bookmarkEnd w:id="19"/>
    </w:p>
    <w:p>
      <w:pPr>
        <w:pStyle w:val="FirstParagraph"/>
      </w:pPr>
      <w:r>
        <w:rPr>
          <w:lang w:val="es-CO"/>
        </w:rPr>
        <w:t xml:space="preserve">Reglas de Elmasri y Navathe:</w:t>
      </w:r>
    </w:p>
    <w:p>
      <w:pPr>
        <w:pStyle w:val="TableCaption"/>
      </w:pPr>
      <w:r>
        <w:rPr>
          <w:lang w:val="es-CO"/>
        </w:rPr>
        <w:t xml:space="preserve">Transformación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ransform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 → tabla, atributos simples, identificador=PK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tablas: DEPARTAMENTO, CIUDAD, SEDE, EMPLEADO, …,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 → tabla; PK=PK propietario+llave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 → FK UNIQUE en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(DIRIGIR), HISTORIA_CLINICA.id_mascota (TENER), CONSULTA.id_cita (GENERAR)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 → FK en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relaciones; MASCOTA.id_cliente (POSEER)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 → tabla; PK=ambas PK; atributos propios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Multivaluado → tabla: PK original+valor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Compuesto →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8A → tabla/superclase/subclase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AUXILIAR: PK=FK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Derivados → consultas/vistas, sin 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subtotal, total</w:t>
            </w:r>
          </w:p>
        </w:tc>
      </w:tr>
    </w:tbl>
    <w:p>
      <w:pPr>
        <w:pStyle w:val="Heading2"/>
      </w:pPr>
      <w:bookmarkStart w:id="20" w:name="_ejemplos"/>
      <w:r>
        <w:rPr>
          <w:rStyle w:val="SectionNumber"/>
          <w:lang w:val="es-CO"/>
        </w:rPr>
        <w:t xml:space="preserve">1.1</w:t>
      </w:r>
      <w:r>
        <w:tab/>
      </w:r>
      <w:r>
        <w:rPr>
          <w:lang w:val="es-CO"/>
        </w:rPr>
        <w:t xml:space="preserve">Ejemplos</w:t>
      </w:r>
      <w:bookmarkEnd w:id="20"/>
    </w:p>
    <w:p>
      <w:pPr>
        <w:pStyle w:val="CaptionedFigure"/>
      </w:pPr>
      <w:r>
        <w:drawing>
          <wp:inline>
            <wp:extent cx="5334000" cy="2595545"/>
            <wp:effectExtent b="0" l="0" r="0" t="0"/>
            <wp:docPr descr="CLIENTE y teléfonos multivaluados" title="" id="22" name="Picture"/>
            <a:graphic>
              <a:graphicData uri="http://schemas.openxmlformats.org/drawingml/2006/picture">
                <pic:pic>
                  <pic:nvPicPr>
                    <pic:cNvPr descr="diagramas/png/05_Transformacion_Multivaluado_CLIENT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CLIENTE y teléfonos multivaluados</w:t>
      </w:r>
    </w:p>
    <w:p>
      <w:pPr>
        <w:pStyle w:val="CaptionedFigure"/>
      </w:pPr>
      <w:r>
        <w:drawing>
          <wp:inline>
            <wp:extent cx="5334000" cy="2922542"/>
            <wp:effectExtent b="0" l="0" r="0" t="0"/>
            <wp:docPr descr="Relación N:M PRESCRIBIR" title="" id="25" name="Picture"/>
            <a:graphic>
              <a:graphicData uri="http://schemas.openxmlformats.org/drawingml/2006/picture">
                <pic:pic>
                  <pic:nvPicPr>
                    <pic:cNvPr descr="diagramas/png/06_Transformacion_NM_PRESCRIPC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PRESCRIBIR</w:t>
      </w:r>
    </w:p>
    <w:p>
      <w:pPr>
        <w:pStyle w:val="CaptionedFigure"/>
      </w:pPr>
      <w:r>
        <w:drawing>
          <wp:inline>
            <wp:extent cx="5334000" cy="2778574"/>
            <wp:effectExtent b="0" l="0" r="0" t="0"/>
            <wp:docPr descr="Relación N:M ALMACENAR" title="" id="28" name="Picture"/>
            <a:graphic>
              <a:graphicData uri="http://schemas.openxmlformats.org/drawingml/2006/picture">
                <pic:pic>
                  <pic:nvPicPr>
                    <pic:cNvPr descr="diagramas/png/07_Transformacion_NM_INVENTARI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ALMACENAR</w:t>
      </w:r>
    </w:p>
    <w:p>
      <w:pPr>
        <w:pStyle w:val="CaptionedFigure"/>
      </w:pPr>
      <w:r>
        <w:drawing>
          <wp:inline>
            <wp:extent cx="5334000" cy="2490639"/>
            <wp:effectExtent b="0" l="0" r="0" t="0"/>
            <wp:docPr descr="Relación N:M CERTIFICAR" title="" id="31" name="Picture"/>
            <a:graphic>
              <a:graphicData uri="http://schemas.openxmlformats.org/drawingml/2006/picture">
                <pic:pic>
                  <pic:nvPicPr>
                    <pic:cNvPr descr="diagramas/png/08_Transformacion_NM_ESPECIALIDA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CERTIFICAR</w:t>
      </w:r>
    </w:p>
    <w:p>
      <w:pPr>
        <w:pStyle w:val="CaptionedFigure"/>
      </w:pPr>
      <w:r>
        <w:drawing>
          <wp:inline>
            <wp:extent cx="5334000" cy="2672793"/>
            <wp:effectExtent b="0" l="0" r="0" t="0"/>
            <wp:docPr descr="Entidad débil DETALLE_FACTURA y llave parcial" title="" id="34" name="Picture"/>
            <a:graphic>
              <a:graphicData uri="http://schemas.openxmlformats.org/drawingml/2006/picture">
                <pic:pic>
                  <pic:nvPicPr>
                    <pic:cNvPr descr="diagramas/png/09_Entidad_Debil_DETALLE_FACTUR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2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Entidad débil DETALLE_FACTURA y llave parcial</w:t>
      </w:r>
    </w:p>
    <w:p>
      <w:pPr>
        <w:pStyle w:val="FirstParagraph"/>
      </w:pPr>
      <w:r>
        <w:rPr>
          <w:b/>
          <w:bCs/>
          <w:lang w:val="es-CO"/>
        </w:rPr>
        <w:t xml:space="preserve">Ciclo SEDE–EMPLEADO (LABORAR/DIRIGIR):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agrega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después de EMPLEADO.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nullable permite crear primero SEDE (S-07).</w:t>
      </w:r>
    </w:p>
    <w:p>
      <w:pPr>
        <w:pStyle w:val="Heading1"/>
      </w:pPr>
      <w:bookmarkStart w:id="36" w:name="_5f98f5c7377c166e8004a4e2d0173c5a00ea65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Esquema relacional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(PK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FK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37" w:name="_0ca0c6e0590bf4ca61f137fc5072e7ee3c5ee6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Diagrama relacional (Draw.io)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22 tablas, 30 FK, tipos MySQL.</w:t>
      </w:r>
      <w:r>
        <w:rPr>
          <w:lang w:val="es-CO"/>
        </w:rPr>
        <w:t xml:space="preserve"> </w:t>
      </w:r>
      <w:r>
        <w:rPr>
          <w:lang w:val="es-CO"/>
        </w:rPr>
        <w:t xml:space="preserve">Leyenda: # PK; * NOT NULL; o nullable; FK foránea; UQn UNIQUE; continua identificadora/discontinua restante. Padre 1/0..1 según nulabilidad; inversa 0..N/0..1 según UNIQUE. DDL sin todas las participaciones mínimas conceptuales.</w:t>
      </w:r>
    </w:p>
    <w:p>
      <w:pPr>
        <w:pStyle w:val="CaptionedFigure"/>
      </w:pPr>
      <w:r>
        <w:drawing>
          <wp:inline>
            <wp:extent cx="5334000" cy="4324811"/>
            <wp:effectExtent b="0" l="0" r="0" t="0"/>
            <wp:docPr descr="Modelo relacional completo de SIGEVET — Draw.io" title="" id="39" name="Picture"/>
            <a:graphic>
              <a:graphicData uri="http://schemas.openxmlformats.org/drawingml/2006/picture">
                <pic:pic>
                  <pic:nvPicPr>
                    <pic:cNvPr descr="diagramas/png/23_Relacional_Globa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4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— Draw.io</w:t>
      </w:r>
    </w:p>
    <w:p>
      <w:pPr>
        <w:pStyle w:val="Heading2"/>
      </w:pPr>
      <w:bookmarkStart w:id="41" w:name="_cfb15f8888cb2bd019aafc191f771ba1a8d50e8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Vistas por área</w:t>
      </w:r>
      <w:bookmarkEnd w:id="41"/>
    </w:p>
    <w:p>
      <w:pPr>
        <w:pStyle w:val="CaptionedFigure"/>
      </w:pPr>
      <w:r>
        <w:drawing>
          <wp:inline>
            <wp:extent cx="5334000" cy="6784752"/>
            <wp:effectExtent b="0" l="0" r="0" t="0"/>
            <wp:docPr descr="Modelo relacional — Organizacion" title="" id="43" name="Picture"/>
            <a:graphic>
              <a:graphicData uri="http://schemas.openxmlformats.org/drawingml/2006/picture">
                <pic:pic>
                  <pic:nvPicPr>
                    <pic:cNvPr descr="diagramas/png/24_Relacional_Organizac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84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Organizacion</w:t>
      </w:r>
    </w:p>
    <w:p>
      <w:pPr>
        <w:pStyle w:val="CaptionedFigure"/>
      </w:pPr>
      <w:r>
        <w:drawing>
          <wp:inline>
            <wp:extent cx="5334000" cy="5204305"/>
            <wp:effectExtent b="0" l="0" r="0" t="0"/>
            <wp:docPr descr="Modelo relacional — Clinica" title="" id="46" name="Picture"/>
            <a:graphic>
              <a:graphicData uri="http://schemas.openxmlformats.org/drawingml/2006/picture">
                <pic:pic>
                  <pic:nvPicPr>
                    <pic:cNvPr descr="diagramas/png/25_Relacional_Clinic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Clinica</w:t>
      </w:r>
    </w:p>
    <w:p>
      <w:pPr>
        <w:pStyle w:val="CaptionedFigure"/>
      </w:pPr>
      <w:r>
        <w:drawing>
          <wp:inline>
            <wp:extent cx="5334000" cy="3868778"/>
            <wp:effectExtent b="0" l="0" r="0" t="0"/>
            <wp:docPr descr="Modelo relacional — Comercial" title="" id="49" name="Picture"/>
            <a:graphic>
              <a:graphicData uri="http://schemas.openxmlformats.org/drawingml/2006/picture">
                <pic:pic>
                  <pic:nvPicPr>
                    <pic:cNvPr descr="diagramas/png/26_Relacional_Comercial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8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Comercial</w:t>
      </w:r>
    </w:p>
    <w:p>
      <w:pPr>
        <w:pStyle w:val="Heading1"/>
      </w:pPr>
      <w:bookmarkStart w:id="51" w:name="_9f5ed94368e0cb8030db26b62ab8c35ee7d982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Integridad referencial</w:t>
      </w:r>
      <w:bookmarkEnd w:id="51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52" w:name="_normalización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Normalización</w:t>
      </w:r>
      <w:bookmarkEnd w:id="52"/>
    </w:p>
    <w:p>
      <w:pPr>
        <w:pStyle w:val="CaptionedFigure"/>
      </w:pPr>
      <w:r>
        <w:drawing>
          <wp:inline>
            <wp:extent cx="5334000" cy="2868536"/>
            <wp:effectExtent b="0" l="0" r="0" t="0"/>
            <wp:docPr descr="Proceso de normalización de 0FN a 3FN" title="" id="54" name="Picture"/>
            <a:graphic>
              <a:graphicData uri="http://schemas.openxmlformats.org/drawingml/2006/picture">
                <pic:pic>
                  <pic:nvPicPr>
                    <pic:cNvPr descr="diagramas/png/27_Normalizac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8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Proceso de normalización de 0FN a 3FN</w:t>
      </w:r>
    </w:p>
    <w:p>
      <w:pPr>
        <w:pStyle w:val="Heading2"/>
      </w:pPr>
      <w:bookmarkStart w:id="56" w:name="_conceptos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Conceptos</w:t>
      </w:r>
      <w:bookmarkEnd w:id="56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DF: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: X determina un único 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atributos atómicos, sin grupos repetitivos ni multivaluados.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1FN, sin dependencia parcial no prima sobre llaves candidatas.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2FN, sin dependencia transitiva no prima 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, Y no llave).</w:t>
      </w:r>
    </w:p>
    <w:p>
      <w:pPr>
        <w:pStyle w:val="Heading2"/>
      </w:pPr>
      <w:bookmarkStart w:id="57" w:name="_6e132e32df50a82023cfa0f0fed2b00e9c1d66a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Formato inicial (0FN)</w:t>
      </w:r>
      <w:bookmarkEnd w:id="57"/>
    </w:p>
    <w:p>
      <w:pPr>
        <w:pStyle w:val="TableCaption"/>
      </w:pPr>
      <w:r>
        <w:rPr>
          <w:lang w:val="es-CO"/>
        </w:rPr>
        <w:t xml:space="preserve">Orden 0FN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den 0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</w:t>
      </w:r>
      <w:r>
        <w:rPr>
          <w:lang w:val="es-CO"/>
        </w:rPr>
        <w:t xml:space="preserve">teléfonos repetidos; medicamentos requieren venta; eliminar factura única elimina cliente.</w:t>
      </w:r>
    </w:p>
    <w:p>
      <w:pPr>
        <w:pStyle w:val="Heading2"/>
      </w:pPr>
      <w:bookmarkStart w:id="58" w:name="_e246aafd8d38d45632538a82b7202bff8b7b6c6"/>
      <w:r>
        <w:rPr>
          <w:rStyle w:val="SectionNumber"/>
          <w:lang w:val="es-CO"/>
        </w:rPr>
        <w:t xml:space="preserve">5.3</w:t>
      </w:r>
      <w:r>
        <w:tab/>
      </w:r>
      <w:r>
        <w:rPr>
          <w:lang w:val="es-CO"/>
        </w:rPr>
        <w:t xml:space="preserve">Primera Forma Normal (1FN)</w:t>
      </w:r>
      <w:bookmarkEnd w:id="58"/>
    </w:p>
    <w:p>
      <w:pPr>
        <w:pStyle w:val="FirstParagraph"/>
      </w:pPr>
      <w:r>
        <w:rPr>
          <w:lang w:val="es-CO"/>
        </w:rPr>
        <w:t xml:space="preserve">Filas por línea; teléfonos separados: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TableCaption"/>
      </w:pPr>
      <w:r>
        <w:rPr>
          <w:lang w:val="es-CO"/>
        </w:rPr>
        <w:t xml:space="preserve">Dependencias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: num_factura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, vía atributo no primo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2"/>
      </w:pPr>
      <w:bookmarkStart w:id="59" w:name="_91a27f5ca24a897628b74459d5650c4a5118f9c"/>
      <w:r>
        <w:rPr>
          <w:rStyle w:val="SectionNumber"/>
          <w:lang w:val="es-CO"/>
        </w:rPr>
        <w:t xml:space="preserve">5.4</w:t>
      </w:r>
      <w:r>
        <w:tab/>
      </w:r>
      <w:r>
        <w:rPr>
          <w:lang w:val="es-CO"/>
        </w:rPr>
        <w:t xml:space="preserve">Segunda Forma Normal (2FN)</w:t>
      </w:r>
      <w:bookmarkEnd w:id="59"/>
    </w:p>
    <w:p>
      <w:pPr>
        <w:pStyle w:val="FirstParagraph"/>
      </w:pPr>
      <w:r>
        <w:rPr>
          <w:lang w:val="es-CO"/>
        </w:rPr>
        <w:t xml:space="preserve">DF2/DF3: separar factura e ítem.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: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, distinto del vigente (S-37).</w:t>
      </w:r>
    </w:p>
    <w:p>
      <w:pPr>
        <w:pStyle w:val="Heading2"/>
      </w:pPr>
      <w:bookmarkStart w:id="60" w:name="_01ba4faec9d3960aec88de952d29d770a3c7c2e"/>
      <w:r>
        <w:rPr>
          <w:rStyle w:val="SectionNumber"/>
          <w:lang w:val="es-CO"/>
        </w:rPr>
        <w:t xml:space="preserve">5.5</w:t>
      </w:r>
      <w:r>
        <w:tab/>
      </w:r>
      <w:r>
        <w:rPr>
          <w:lang w:val="es-CO"/>
        </w:rPr>
        <w:t xml:space="preserve">Tercera Forma Normal (3FN)</w:t>
      </w:r>
      <w:bookmarkEnd w:id="60"/>
    </w:p>
    <w:p>
      <w:pPr>
        <w:pStyle w:val="FirstParagraph"/>
      </w:pPr>
      <w:r>
        <w:rPr>
          <w:lang w:val="es-CO"/>
        </w:rPr>
        <w:t xml:space="preserve">Separar determinantes transitivos DF4–DF8:</w:t>
      </w:r>
    </w:p>
    <w:p>
      <w:pPr>
        <w:pStyle w:val="TableCaption"/>
      </w:pPr>
      <w:r>
        <w:rPr>
          <w:lang w:val="es-CO"/>
        </w:rPr>
        <w:t xml:space="preserve">Separación transitiva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paración transitiv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CITA/CONSULTA: mascota y veterinario; FACTURA: cliente, sede,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y MEDICAMENTO; DETALLE_FACTURA referencia uno de ambos</w:t>
            </w:r>
          </w:p>
        </w:tc>
      </w:tr>
    </w:tbl>
    <w:p>
      <w:pPr>
        <w:pStyle w:val="Heading2"/>
      </w:pPr>
      <w:bookmarkStart w:id="61" w:name="_5b60e96e38f11fd306f2761c9a1bf8d24e07549"/>
      <w:r>
        <w:rPr>
          <w:rStyle w:val="SectionNumber"/>
          <w:lang w:val="es-CO"/>
        </w:rPr>
        <w:t xml:space="preserve">5.6</w:t>
      </w:r>
      <w:r>
        <w:tab/>
      </w:r>
      <w:r>
        <w:rPr>
          <w:lang w:val="es-CO"/>
        </w:rPr>
        <w:t xml:space="preserve">Verificación 3FN</w:t>
      </w:r>
      <w:bookmarkEnd w:id="61"/>
    </w:p>
    <w:p>
      <w:pPr>
        <w:pStyle w:val="TableCaption"/>
      </w:pPr>
      <w:r>
        <w:rPr>
          <w:lang w:val="es-CO"/>
        </w:rPr>
        <w:t xml:space="preserve">Verificación 3FN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3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PK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PK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ciudad/raza/sede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mascota/sede/servicio separados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total derivado, sin 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ambas → 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combinación → dosis/frecuencia/cantidad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sede/medicamento → 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línea → cantidad/precio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Determinantes: llaves candidatas (PK/UNIQUE); cumple Boyce-Codd (FNBC).</w:t>
      </w:r>
    </w:p>
    <w:p>
      <w:pPr>
        <w:pStyle w:val="Heading1"/>
      </w:pPr>
      <w:bookmarkStart w:id="62" w:name="_5d39a7540af935ac9c7d18dbc0ee1862a44078b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Script DDL</w:t>
      </w:r>
      <w:bookmarkEnd w:id="62"/>
    </w:p>
    <w:p>
      <w:pPr>
        <w:pStyle w:val="FirstParagraph"/>
      </w:pP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: tablas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nombradas.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database/01_ddl/02_comentarios.sql</w:t>
      </w:r>
      <w:r>
        <w:rPr>
          <w:lang w:val="es-CO"/>
        </w:rPr>
        <w:t xml:space="preserve">: comentarios de tablas/columnas.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53" Type="http://schemas.openxmlformats.org/officeDocument/2006/relationships/image" Target="media/rId5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Relacional con notación Crow's Foot y Normalización (3FN) — SIGEVET</dc:title>
  <dc:creator>Sebastián Castellanos Parra, Juan David Polo Herrera, Juan Miguel Ramos</dc:creator>
  <dc:language>es-CO</dc:language>
  <cp:keywords/>
  <dcterms:created xsi:type="dcterms:W3CDTF">2026-10-26T22:49:01Z</dcterms:created>
  <dcterms:modified xsi:type="dcterms:W3CDTF">2026-10-26T22:49:01Z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Relacional con notación Crow’s Foot y Normalización (3FN)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