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Identificación de interesados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criterios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Criterios</w:t>
      </w:r>
      <w:bookmarkEnd w:id="19"/>
    </w:p>
    <w:p>
      <w:pPr>
        <w:pStyle w:val="FirstParagraph"/>
      </w:pPr>
      <w:r>
        <w:rPr>
          <w:lang w:val="es-CO"/>
        </w:rPr>
        <w:t xml:space="preserve">Huella Sana S.A.S.: caso ficticio validado con docente, sin entrevistas.</w:t>
      </w:r>
      <w:r>
        <w:rPr>
          <w:lang w:val="es-CO"/>
        </w:rPr>
        <w:t xml:space="preserve"> </w:t>
      </w:r>
      <w:r>
        <w:rPr>
          <w:lang w:val="es-CO"/>
        </w:rPr>
        <w:t xml:space="preserve">Poder: aprobación; influencia: decisiones; interés: impacto. Escala alta/media/baja;</w:t>
      </w:r>
      <w:r>
        <w:rPr>
          <w:lang w:val="es-CO"/>
        </w:rPr>
        <w:t xml:space="preserve"> </w:t>
      </w:r>
      <w:r>
        <w:rPr>
          <w:lang w:val="es-CO"/>
        </w:rPr>
        <w:t xml:space="preserve">poder medio/bajo: sin aprobación.</w:t>
      </w:r>
    </w:p>
    <w:p>
      <w:pPr>
        <w:pStyle w:val="Heading1"/>
      </w:pPr>
      <w:bookmarkStart w:id="20" w:name="_registro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Registro</w:t>
      </w:r>
      <w:bookmarkEnd w:id="20"/>
    </w:p>
    <w:p>
      <w:pPr>
        <w:pStyle w:val="TableCaption"/>
      </w:pPr>
      <w:r>
        <w:rPr>
          <w:lang w:val="es-CO"/>
        </w:rPr>
        <w:t xml:space="preserve">Interesados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nteres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Nombre/rol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Organización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Interés/poder/influencia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Arévalo; docente/patrocinador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(1117506677); Gerente del proyecto/DBA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(1031811214); Analista/modelador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(1025528586); Desarrollador web/infraestructura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general ficticio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Administradores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Auxiliares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de recepción/facturación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Clientes/dueños de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del caso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Alto/Bajo/Baja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Coordinación de Ingeniería de Sistemas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Bajo/Alto/Media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Expectativas y requisitos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pectativas y requis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Expectativas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Requisitos verificables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Diseño/implementación BD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Ocho entregables/fase, seis transversales, 55 ejercicios; video máximo 15 minutos, tres integrantes.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Hitos/alcance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tablas, restricciones nombradas, scripts reproducibles, trazabilidad de horas/costos.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Reglas/cardinalidades coherentes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Chen, EER, Barker/Crow’s Foot, normalización/diccionario sincronizados con DDL.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Reproducibilidad/verificación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Oracle Linux, MySQL 8.4, Java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, 55 ejercicios.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Ingresos/actividad por sede/servicio; integridad facturas-clientes-atención.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Agenda/personal/existencias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Director/sede, empleados asignados, inventario bajo mínimo.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Antecedentes/prescripciones completos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única/mascota, consultas-citas, medicamentos con dosis/frecuencia.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Apoyo clínico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opcional/consulta; signos vitales.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Unicidad/consistencia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único; teléfonos múltiples; detalle exclusivo servicio/medicamento.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Coherencia intersede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Mascota-propietario, historia única; datos ficticios.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Calidad/evidencia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Identificación institucional/roles/aceptación registrada.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Pruebas: SQL. Excluidas captura y autenticación de usuarios finales.</w:t>
      </w:r>
    </w:p>
    <w:p>
      <w:pPr>
        <w:pStyle w:val="Heading1"/>
      </w:pPr>
      <w:bookmarkStart w:id="21" w:name="_poderinterés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Poder/interés</w:t>
      </w:r>
      <w:bookmarkEnd w:id="21"/>
    </w:p>
    <w:p>
      <w:pPr>
        <w:pStyle w:val="TableCaption"/>
      </w:pPr>
      <w:r>
        <w:rPr>
          <w:lang w:val="es-CO"/>
        </w:rPr>
        <w:t xml:space="preserve">Clasificación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Poder/interés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alto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Gestionar de cerca: I01, I02, 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satisfecho: I11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bajo o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informados: I03, I04, I06, I07, I08, I09, 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Monitorear: ninguno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I01 aprueba académicamente; I05 no autoriza recursos universitarios.</w:t>
      </w:r>
    </w:p>
    <w:p>
      <w:pPr>
        <w:pStyle w:val="Heading1"/>
      </w:pPr>
      <w:bookmarkStart w:id="22" w:name="_particip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Participación</w:t>
      </w:r>
      <w:bookmarkEnd w:id="22"/>
    </w:p>
    <w:p>
      <w:pPr>
        <w:pStyle w:val="FirstParagraph"/>
      </w:pPr>
      <w:r>
        <w:rPr>
          <w:lang w:val="es-CO"/>
        </w:rPr>
        <w:t xml:space="preserve">Responsables: IDs del registro anterior.</w:t>
      </w:r>
    </w:p>
    <w:p>
      <w:pPr>
        <w:pStyle w:val="TableCaption"/>
      </w:pPr>
      <w:r>
        <w:rPr>
          <w:lang w:val="es-CO"/>
        </w:rPr>
        <w:t xml:space="preserve">Seguimiento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gu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Estrategia/mecanismo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Frecuencia/control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paquetes; resolver observaciones; registrar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Semanal; aceptación semanas 8, 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avance/riesgos/horas/cambios; revisar restricciones/scripts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Semanal, semanas 1 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modelos/supuestos/diccionario en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 durante modelado; final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consultas/instalación/conexión de solo 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7 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indicadores/alcance simulados con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 y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dirección/agenda/inventario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2, 5 y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historia clínica/prescripción con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3, 7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asistencia opcional/datos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3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unicidad/detalle de factura/consistencia de 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6, 8 y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propietario/mascota con datos ficticios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evidencia de productos/participación; solicitudes mediante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 o según solicitud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Gerente: reclasificar cambios de expectativas/poder. Observaciones: ID/EDT/resolución en Git.</w:t>
      </w:r>
      <w:r>
        <w:rPr>
          <w:lang w:val="es-CO"/>
        </w:rPr>
        <w:t xml:space="preserve"> </w:t>
      </w:r>
      <w:r>
        <w:rPr>
          <w:lang w:val="es-CO"/>
        </w:rPr>
        <w:t xml:space="preserve">Alcance/presupuesto/hitos: revisión docente previa.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Identificación de interesados — SIGEVET</dc:title>
  <dc:creator>Sebastián Castellanos Parra, Juan David Polo Herrera, Juan Miguel Ramos</dc:creator>
  <dc:language>es-CO</dc:language>
  <cp:keywords/>
  <dcterms:created xsi:type="dcterms:W3CDTF">2026-10-26T22:49:09Z</dcterms:created>
  <dcterms:modified xsi:type="dcterms:W3CDTF">2026-10-26T22:49:09Z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Identificación de interesados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