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acompaña los scripts SQL que transforman el modelo lógico de SIGEVET en el modelo físico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están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repositorio, junto con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README.md</w:t>
      </w:r>
      <w:r>
        <w:rPr>
          <w:lang w:val="es-CO"/>
        </w:rPr>
        <w:t xml:space="preserve">. Se agrupan en los tres tipos</w:t>
      </w:r>
      <w:r>
        <w:rPr>
          <w:lang w:val="es-CO"/>
        </w:rPr>
        <w:t xml:space="preserve"> </w:t>
      </w:r>
      <w:r>
        <w:rPr>
          <w:lang w:val="es-CO"/>
        </w:rPr>
        <w:t xml:space="preserve">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creación de objetos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inserción de registros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scripts varios</w:t>
      </w:r>
      <w:r>
        <w:rPr>
          <w:lang w:val="es-CO"/>
        </w:rPr>
        <w:t xml:space="preserve">. Se pueden ejecutar con el</w:t>
      </w:r>
      <w:r>
        <w:rPr>
          <w:lang w:val="es-CO"/>
        </w:rPr>
        <w:t xml:space="preserve"> </w:t>
      </w:r>
      <w:r>
        <w:rPr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dentro de la VM (así lo hace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) o abriéndolos uno por uno en MySQL Workbench.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datos, usuarios y rol (se ejecuta como root)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 y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 y restricciones con nombre, con el comentario de cada tabla y columna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CHECK;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 de búsqueda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índices (InnoDB crea solo los de PK, UNIQUE y 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Funciones, procedimientos y 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funciones, 3 procedimientos y 9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Motor InnoDB y utf8mb4.</w:t>
      </w:r>
      <w:r>
        <w:rPr>
          <w:lang w:val="es-CO"/>
        </w:rPr>
        <w:t xml:space="preserve"> </w:t>
      </w:r>
      <w:r>
        <w:rPr>
          <w:lang w:val="es-CO"/>
        </w:rPr>
        <w:t xml:space="preserve">InnoDB es el motor de MySQL que maneja llaves foráneas y transacciones. La base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utf8mb4</w:t>
      </w:r>
      <w:r>
        <w:rPr>
          <w:lang w:val="es-CO"/>
        </w:rPr>
        <w:t xml:space="preserve"> </w:t>
      </w:r>
      <w:r>
        <w:rPr>
          <w:lang w:val="es-CO"/>
        </w:rPr>
        <w:t xml:space="preserve">para guardar bien las tildes y la ñ.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 con nombre.</w:t>
      </w:r>
      <w:r>
        <w:rPr>
          <w:lang w:val="es-CO"/>
        </w:rPr>
        <w:t xml:space="preserve"> </w:t>
      </w:r>
      <w:r>
        <w:rPr>
          <w:lang w:val="es-CO"/>
        </w:rPr>
        <w:t xml:space="preserve">Todas siguen la convención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columna. Así, un error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 constraint 'CK_MASCOTA_SEXO' is violated</w:t>
      </w:r>
      <w:r>
        <w:rPr>
          <w:lang w:val="es-CO"/>
        </w:rPr>
        <w:t xml:space="preserve"> </w:t>
      </w:r>
      <w:r>
        <w:rPr>
          <w:lang w:val="es-CO"/>
        </w:rPr>
        <w:t xml:space="preserve">dice exactamente qué regla se rompió.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después de las dos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AUTO_INCREMENT.</w:t>
      </w:r>
      <w:r>
        <w:rPr>
          <w:lang w:val="es-CO"/>
        </w:rPr>
        <w:t xml:space="preserve"> </w:t>
      </w:r>
      <w:r>
        <w:rPr>
          <w:lang w:val="es-CO"/>
        </w:rPr>
        <w:t xml:space="preserve">Las tablas con llave numérica propia generan sus identificadores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AUTO_INCREMENT</w:t>
      </w:r>
      <w:r>
        <w:rPr>
          <w:lang w:val="es-CO"/>
        </w:rPr>
        <w:t xml:space="preserve">. Como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se insertan con su id, MySQL continúa después del último identificador cargado.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Comentarios en la misma tabla.</w:t>
      </w:r>
      <w:r>
        <w:rPr>
          <w:lang w:val="es-CO"/>
        </w:rPr>
        <w:t xml:space="preserve"> </w:t>
      </w:r>
      <w:r>
        <w:rPr>
          <w:lang w:val="es-CO"/>
        </w:rPr>
        <w:t xml:space="preserve">El diccionario de datos queda dentro de la base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 cada tabla y en</w:t>
      </w:r>
      <w:r>
        <w:rPr>
          <w:lang w:val="es-CO"/>
        </w:rPr>
        <w:t xml:space="preserve"> </w:t>
      </w:r>
      <w:r>
        <w:rPr>
          <w:lang w:val="es-CO"/>
        </w:rPr>
        <w:t xml:space="preserve">cada columna, y se ve en la pestaña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Columns</w:t>
      </w:r>
      <w:r>
        <w:rPr>
          <w:lang w:val="es-CO"/>
        </w:rPr>
        <w:t xml:space="preserve"> </w:t>
      </w:r>
      <w:r>
        <w:rPr>
          <w:lang w:val="es-CO"/>
        </w:rPr>
        <w:t xml:space="preserve">de Workbench.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Vistas para atributos derivados.</w:t>
      </w:r>
      <w:r>
        <w:rPr>
          <w:lang w:val="es-CO"/>
        </w:rPr>
        <w:t xml:space="preserve"> </w:t>
      </w:r>
      <w:r>
        <w:rPr>
          <w:lang w:val="es-CO"/>
        </w:rPr>
        <w:t xml:space="preserve">El total de la factura (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) y la edad de la 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) se calculan y no se guardan, para mantener la Tercera Forma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 para reglas que no caben en un CHECK.</w:t>
      </w:r>
      <w:r>
        <w:rPr>
          <w:lang w:val="es-CO"/>
        </w:rPr>
        <w:t xml:space="preserve"> </w:t>
      </w:r>
      <w:r>
        <w:rPr>
          <w:lang w:val="es-CO"/>
        </w:rPr>
        <w:t xml:space="preserve">Un CHECK de MySQL no puede consultar otra tabla, así que las</w:t>
      </w:r>
      <w:r>
        <w:rPr>
          <w:lang w:val="es-CO"/>
        </w:rPr>
        <w:t xml:space="preserve"> </w:t>
      </w:r>
      <w:r>
        <w:rPr>
          <w:lang w:val="es-CO"/>
        </w:rPr>
        <w:t xml:space="preserve">reglas RN-08 y RN-09 del documento de supuestos se hicieron con disparadores. En MySQL un disparador cubre un solo</w:t>
      </w:r>
      <w:r>
        <w:rPr>
          <w:lang w:val="es-CO"/>
        </w:rPr>
        <w:t xml:space="preserve"> </w:t>
      </w:r>
      <w:r>
        <w:rPr>
          <w:lang w:val="es-CO"/>
        </w:rPr>
        <w:t xml:space="preserve">evento (INSERT o UPDATE), por eso cada regla vive en un procedimiento que se llama desde los dos disparadores. Los</w:t>
      </w:r>
      <w:r>
        <w:rPr>
          <w:lang w:val="es-CO"/>
        </w:rPr>
        <w:t xml:space="preserve"> </w:t>
      </w:r>
      <w:r>
        <w:rPr>
          <w:lang w:val="es-CO"/>
        </w:rPr>
        <w:t xml:space="preserve">errores se lanzan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SIGNAL SQLSTATE '45000'</w:t>
      </w:r>
      <w:r>
        <w:rPr>
          <w:lang w:val="es-CO"/>
        </w:rPr>
        <w:t xml:space="preserve"> </w:t>
      </w:r>
      <w:r>
        <w:rPr>
          <w:lang w:val="es-CO"/>
        </w:rPr>
        <w:t xml:space="preserve">y un código propio (20001 a 20006):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Procedimiento / 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ser veterinario (RN-09, error 20001)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ser auxiliar (RN-09, error 20002)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PR_VALIDAR_SEDE_VETERINARIO</w:t>
            </w:r>
            <w:r>
              <w:rPr>
                <w:sz w:val="19"/>
                <w:lang w:val="es-CO"/>
              </w:rPr>
              <w:t xml:space="preserve">: el veterinario de la cita debe trabajar en la sede de la cita (RN-08, error 20003)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PR_VALIDAR_CITA_ATENDIDA</w:t>
            </w:r>
            <w:r>
              <w:rPr>
                <w:sz w:val="19"/>
                <w:lang w:val="es-CO"/>
              </w:rPr>
              <w:t xml:space="preserve">: solo una cita ATENDIDA puede generar consulta (supuesto S-28, error 20004)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puede cambiar el tipo de un empleado que ya tiene fila de subtipo (error 20005)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Además, una cita que ya generó consulta no puede dejar de estar ATENDIDA (error 20006)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lang w:val="es-CO"/>
        </w:rPr>
        <w:t xml:space="preserve">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 (uno por tabla, más la asignación de directores)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lang w:val="es-CO"/>
        </w:rPr>
        <w:t xml:space="preserve">prueba ficticios. El orden respeta las dependencias de las llaves foráneas: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Las fechas se escriben en formato ISO (</w:t>
      </w:r>
      <w:r>
        <w:rPr>
          <w:rStyle w:val="VerbatimChar"/>
          <w:lang w:val="es-CO"/>
        </w:rPr>
        <w:t xml:space="preserve">'2025-10-08 16:13:00'</w:t>
      </w:r>
      <w:r>
        <w:rPr>
          <w:lang w:val="es-CO"/>
        </w:rPr>
        <w:t xml:space="preserve">), que MySQL entiende sin importar la configuración</w:t>
      </w:r>
      <w:r>
        <w:rPr>
          <w:lang w:val="es-CO"/>
        </w:rPr>
        <w:t xml:space="preserve"> </w:t>
      </w:r>
      <w:r>
        <w:rPr>
          <w:lang w:val="es-CO"/>
        </w:rPr>
        <w:t xml:space="preserve">regional. Cada archivo empieza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 sigevet;</w:t>
      </w:r>
      <w:r>
        <w:rPr>
          <w:lang w:val="es-CO"/>
        </w:rPr>
        <w:t xml:space="preserve"> </w:t>
      </w:r>
      <w:r>
        <w:rPr>
          <w:lang w:val="es-CO"/>
        </w:rPr>
        <w:t xml:space="preserve">y agrupa sus INSERT en una transacción (</w:t>
      </w:r>
      <w:r>
        <w:rPr>
          <w:rStyle w:val="VerbatimChar"/>
          <w:lang w:val="es-CO"/>
        </w:rPr>
        <w:t xml:space="preserve">START TRANSACTION</w:t>
      </w:r>
      <w:r>
        <w:rPr>
          <w:lang w:val="es-CO"/>
        </w:rPr>
        <w:t xml:space="preserve"> </w:t>
      </w:r>
      <w:r>
        <w:rPr>
          <w:lang w:val="es-CO"/>
        </w:rPr>
        <w:t xml:space="preserve">…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).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55 consultas SQL equivalentes a los ejercicios de álgebra relacional de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 y registros por tabla, y prueba de que las reglas de negocio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03_varios/03_reiniciar_base.sql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 la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crea vacía para reinstalar (los usuarios se conservan)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maestro: ejecuta todo en orden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SOURCE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termina con la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base y los usuarios (si no existen) y ejecuta el script maestro dentro de la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la base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Borrando la base sigevet</w:t>
      </w:r>
      <w:r>
        <w:br/>
      </w:r>
      <w:r>
        <w:rPr>
          <w:rStyle w:val="VerbatimChar"/>
          <w:lang w:val="es-CO"/>
        </w:rPr>
        <w:t xml:space="preserve">resultado</w:t>
      </w:r>
      <w:r>
        <w:br/>
      </w:r>
      <w:r>
        <w:rPr>
          <w:rStyle w:val="VerbatimChar"/>
          <w:lang w:val="es-CO"/>
        </w:rPr>
        <w:t xml:space="preserve">Base sigevet vacía</w:t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== 1/6 Tablas y restricciones (22 tablas)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paso                      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== 2/6 Índices de búsqueda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3/6 Funciones, procedimientos y disparadores (antes de los datos)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== 4/6 Datos de prueba (1.091 registros)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paso         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== 5/6 Vistas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paso               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== 6/6 Verificación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== Objetos de la base sigevet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objeto     | cantidad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TABLA      |       22 |</w:t>
      </w:r>
      <w:r>
        <w:br/>
      </w:r>
      <w:r>
        <w:rPr>
          <w:rStyle w:val="VerbatimChar"/>
          <w:lang w:val="es-CO"/>
        </w:rPr>
        <w:t xml:space="preserve">| VISTA      |        6 |</w:t>
      </w:r>
      <w:r>
        <w:br/>
      </w:r>
      <w:r>
        <w:rPr>
          <w:rStyle w:val="VerbatimChar"/>
          <w:lang w:val="es-CO"/>
        </w:rPr>
        <w:t xml:space="preserve">| FUNCTION   |        2 |</w:t>
      </w:r>
      <w:r>
        <w:br/>
      </w:r>
      <w:r>
        <w:rPr>
          <w:rStyle w:val="VerbatimChar"/>
          <w:lang w:val="es-CO"/>
        </w:rPr>
        <w:t xml:space="preserve">| PROCEDURE  |        3 |</w:t>
      </w:r>
      <w:r>
        <w:br/>
      </w:r>
      <w:r>
        <w:rPr>
          <w:rStyle w:val="VerbatimChar"/>
          <w:lang w:val="es-CO"/>
        </w:rPr>
        <w:t xml:space="preserve">| DISPARADOR |        9 |</w:t>
      </w:r>
      <w:r>
        <w:br/>
      </w:r>
      <w:r>
        <w:rPr>
          <w:rStyle w:val="VerbatimChar"/>
          <w:lang w:val="es-CO"/>
        </w:rPr>
        <w:t xml:space="preserve">| INDICE     |       71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seccion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Restricciones por tipo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tipo        | cantidad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CHECK       |       36 |</w:t>
      </w:r>
      <w:r>
        <w:br/>
      </w:r>
      <w:r>
        <w:rPr>
          <w:rStyle w:val="VerbatimChar"/>
          <w:lang w:val="es-CO"/>
        </w:rPr>
        <w:t xml:space="preserve">| FOREIGN KEY |       30 |</w:t>
      </w:r>
      <w:r>
        <w:br/>
      </w:r>
      <w:r>
        <w:rPr>
          <w:rStyle w:val="VerbatimChar"/>
          <w:lang w:val="es-CO"/>
        </w:rPr>
        <w:t xml:space="preserve">| PRIMARY KEY |       22 |</w:t>
      </w:r>
      <w:r>
        <w:br/>
      </w:r>
      <w:r>
        <w:rPr>
          <w:rStyle w:val="VerbatimChar"/>
          <w:lang w:val="es-CO"/>
        </w:rPr>
        <w:t xml:space="preserve">| UNIQUE      |       25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seccion               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== Registros por tabla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tabla                    | registros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DEPARTAMENTO             |         6 |</w:t>
      </w:r>
      <w:r>
        <w:br/>
      </w:r>
      <w:r>
        <w:rPr>
          <w:rStyle w:val="VerbatimChar"/>
          <w:lang w:val="es-CO"/>
        </w:rPr>
        <w:t xml:space="preserve">| CIUDAD                   |        11 |</w:t>
      </w:r>
      <w:r>
        <w:br/>
      </w:r>
      <w:r>
        <w:rPr>
          <w:rStyle w:val="VerbatimChar"/>
          <w:lang w:val="es-CO"/>
        </w:rPr>
        <w:t xml:space="preserve">| SEDE                     |         5 |</w:t>
      </w:r>
      <w:r>
        <w:br/>
      </w:r>
      <w:r>
        <w:rPr>
          <w:rStyle w:val="VerbatimChar"/>
          <w:lang w:val="es-CO"/>
        </w:rPr>
        <w:t xml:space="preserve">| EMPLEADO                 |        27 |</w:t>
      </w:r>
      <w:r>
        <w:br/>
      </w:r>
      <w:r>
        <w:rPr>
          <w:rStyle w:val="VerbatimChar"/>
          <w:lang w:val="es-CO"/>
        </w:rPr>
        <w:t xml:space="preserve">| VETERINARIO              |        12 |</w:t>
      </w:r>
      <w:r>
        <w:br/>
      </w:r>
      <w:r>
        <w:rPr>
          <w:rStyle w:val="VerbatimChar"/>
          <w:lang w:val="es-CO"/>
        </w:rPr>
        <w:t xml:space="preserve">| AUXILIAR                 |         8 |</w:t>
      </w:r>
      <w:r>
        <w:br/>
      </w:r>
      <w:r>
        <w:rPr>
          <w:rStyle w:val="VerbatimChar"/>
          <w:lang w:val="es-CO"/>
        </w:rPr>
        <w:t xml:space="preserve">| ESPECIALIDAD             |         8 |</w:t>
      </w:r>
      <w:r>
        <w:br/>
      </w:r>
      <w:r>
        <w:rPr>
          <w:rStyle w:val="VerbatimChar"/>
          <w:lang w:val="es-CO"/>
        </w:rPr>
        <w:t xml:space="preserve">| VETERINARIO_ESPECIALIDAD |        12 |</w:t>
      </w:r>
      <w:r>
        <w:br/>
      </w:r>
      <w:r>
        <w:rPr>
          <w:rStyle w:val="VerbatimChar"/>
          <w:lang w:val="es-CO"/>
        </w:rPr>
        <w:t xml:space="preserve">| CLIENTE                  |        45 |</w:t>
      </w:r>
      <w:r>
        <w:br/>
      </w:r>
      <w:r>
        <w:rPr>
          <w:rStyle w:val="VerbatimChar"/>
          <w:lang w:val="es-CO"/>
        </w:rPr>
        <w:t xml:space="preserve">| TELEFONO_CLIENTE         |        66 |</w:t>
      </w:r>
      <w:r>
        <w:br/>
      </w:r>
      <w:r>
        <w:rPr>
          <w:rStyle w:val="VerbatimChar"/>
          <w:lang w:val="es-CO"/>
        </w:rPr>
        <w:t xml:space="preserve">| ESPECIE                  |         5 |</w:t>
      </w:r>
      <w:r>
        <w:br/>
      </w:r>
      <w:r>
        <w:rPr>
          <w:rStyle w:val="VerbatimChar"/>
          <w:lang w:val="es-CO"/>
        </w:rPr>
        <w:t xml:space="preserve">| RAZA                     |        20 |</w:t>
      </w:r>
      <w:r>
        <w:br/>
      </w:r>
      <w:r>
        <w:rPr>
          <w:rStyle w:val="VerbatimChar"/>
          <w:lang w:val="es-CO"/>
        </w:rPr>
        <w:t xml:space="preserve">| MASCOTA                  |        59 |</w:t>
      </w:r>
      <w:r>
        <w:br/>
      </w:r>
      <w:r>
        <w:rPr>
          <w:rStyle w:val="VerbatimChar"/>
          <w:lang w:val="es-CO"/>
        </w:rPr>
        <w:t xml:space="preserve">| HISTORIA_CLINICA         |        59 |</w:t>
      </w:r>
      <w:r>
        <w:br/>
      </w:r>
      <w:r>
        <w:rPr>
          <w:rStyle w:val="VerbatimChar"/>
          <w:lang w:val="es-CO"/>
        </w:rPr>
        <w:t xml:space="preserve">| SERVICIO                 |        14 |</w:t>
      </w:r>
      <w:r>
        <w:br/>
      </w:r>
      <w:r>
        <w:rPr>
          <w:rStyle w:val="VerbatimChar"/>
          <w:lang w:val="es-CO"/>
        </w:rPr>
        <w:t xml:space="preserve">| CITA                     |       144 |</w:t>
      </w:r>
      <w:r>
        <w:br/>
      </w:r>
      <w:r>
        <w:rPr>
          <w:rStyle w:val="VerbatimChar"/>
          <w:lang w:val="es-CO"/>
        </w:rPr>
        <w:t xml:space="preserve">| CONSULTA                 |        95 |</w:t>
      </w:r>
      <w:r>
        <w:br/>
      </w:r>
      <w:r>
        <w:rPr>
          <w:rStyle w:val="VerbatimChar"/>
          <w:lang w:val="es-CO"/>
        </w:rPr>
        <w:t xml:space="preserve">| MEDICAMENTO              |        18 |</w:t>
      </w:r>
      <w:r>
        <w:br/>
      </w:r>
      <w:r>
        <w:rPr>
          <w:rStyle w:val="VerbatimChar"/>
          <w:lang w:val="es-CO"/>
        </w:rPr>
        <w:t xml:space="preserve">| PRESCRIPCION             |        88 |</w:t>
      </w:r>
      <w:r>
        <w:br/>
      </w:r>
      <w:r>
        <w:rPr>
          <w:rStyle w:val="VerbatimChar"/>
          <w:lang w:val="es-CO"/>
        </w:rPr>
        <w:t xml:space="preserve">| INVENTARIO               |        79 |</w:t>
      </w:r>
      <w:r>
        <w:br/>
      </w:r>
      <w:r>
        <w:rPr>
          <w:rStyle w:val="VerbatimChar"/>
          <w:lang w:val="es-CO"/>
        </w:rPr>
        <w:t xml:space="preserve">| FACTURA                  |       109 |</w:t>
      </w:r>
      <w:r>
        <w:br/>
      </w:r>
      <w:r>
        <w:rPr>
          <w:rStyle w:val="VerbatimChar"/>
          <w:lang w:val="es-CO"/>
        </w:rPr>
        <w:t xml:space="preserve">| DETALLE_FACTURA          |       201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Prueba de reglas de negocio (cada intento debe ser RECHAZADO con el código esperado)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| error   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FK a departamento inexistente | 1452: Cannot add or update a child row: a foreign key constraint fails (`sigevet`.`CIUDAD`, CONS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| error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CHECK sexo de mascota | 3819: Check constraint 'CK_MASCOTA_SEXO' is violated.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| error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UNIQUE documento de cliente | 1062: Duplicate entry 'CC-52209458' for key 'CLIENTE.UQ_CLIENTE_TIPO_DOCUMENTO_NUM_DOCUMENTO'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Arco exclusivo del detalle | 3819: Check constraint 'CK_DETALLE_FACTURA_ITEM' is violated.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| error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OK        | RN-09 subtipo VET | 20001: El empleado 6 no es de tipo VET.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RN-08 veterinario de otra sede | 20003: El veterinario 1 labora en la sede 1, no en la sede 5.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Consulta de cita no atendida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Mover consulta a cita cancelada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Cambio de tipo con subtipo | 20005: El empleado 1 tiene registro de subtipo; elimínelo antes de cambiar tipo_empleado.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Cita con consulta deja ATENDIDA | 20006: La cita 4 ya tiene consulta registrada; no puede cambiar a CANCELADA.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== Atributos derivados (funciones)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numero_factura | total    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FV-000001      | 364000.00 |</w:t>
      </w:r>
      <w:r>
        <w:br/>
      </w:r>
      <w:r>
        <w:rPr>
          <w:rStyle w:val="VerbatimChar"/>
          <w:lang w:val="es-CO"/>
        </w:rPr>
        <w:t xml:space="preserve">| FV-000002      |  80500.00 |</w:t>
      </w:r>
      <w:r>
        <w:br/>
      </w:r>
      <w:r>
        <w:rPr>
          <w:rStyle w:val="VerbatimChar"/>
          <w:lang w:val="es-CO"/>
        </w:rPr>
        <w:t xml:space="preserve">| FV-000003      | 400000.00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paso   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Instalación terminada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Tiempo: 2 s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e0b45dd94e7002bea45bb901fdf41c844f7ca0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MySQL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MySQL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MySQL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 describe la estructura de carpetas, el orden de ejecución, cómo</w:t>
      </w:r>
      <w:r>
        <w:rPr>
          <w:lang w:val="es-CO"/>
        </w:rPr>
        <w:t xml:space="preserve"> </w:t>
      </w:r>
      <w:r>
        <w:rPr>
          <w:lang w:val="es-CO"/>
        </w:rPr>
        <w:t xml:space="preserve">ejecutar los scripts dentro de la VM con el cliente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o desde MySQL Workbench, el manejo de credenciales y el</w:t>
      </w:r>
      <w:r>
        <w:rPr>
          <w:lang w:val="es-CO"/>
        </w:rPr>
        <w:t xml:space="preserve"> </w:t>
      </w:r>
      <w:r>
        <w:rPr>
          <w:lang w:val="es-CO"/>
        </w:rPr>
        <w:t xml:space="preserve">origen de los datos de prueba.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2026-10-22T03:21:41Z</dcterms:created>
  <dcterms:modified xsi:type="dcterms:W3CDTF">2026-10-22T03:21:41Z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