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23" name="Picture 23"/>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Cronograma del proyecto</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Transversal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7e19ae70291fc3dd26c9bdcccc6cf9743868ab2"/>
      <w:r>
        <w:rPr>
          <w:rStyle w:val="SectionNumber"/>
          <w:lang w:val="es-CO"/>
        </w:rPr>
        <w:t xml:space="preserve">1</w:t>
      </w:r>
      <w:r>
        <w:tab/>
      </w:r>
      <w:r>
        <w:rPr>
          <w:lang w:val="es-CO"/>
        </w:rPr>
        <w:t xml:space="preserve">Línea base y criterios de programación</w:t>
      </w:r>
      <w:bookmarkEnd w:id="19"/>
    </w:p>
    <w:p>
      <w:pPr>
        <w:pStyle w:val="FirstParagraph"/>
      </w:pPr>
      <w:r>
        <w:rPr>
          <w:lang w:val="es-CO"/>
        </w:rPr>
        <w:t xml:space="preserve">El cronograma distribuye SIGEVET entre Semana 1 y Semana 14, con 22 paquetes EDT y tres hitos de duración nula. El esfuerzo total es de 385 horas; una semana de duración indica una ventana de ejecución y no una dedicación de tiempo completo. La gestión y el repositorio se desarrollan en paralelo para apoyar las dos fases.</w:t>
      </w:r>
    </w:p>
    <w:p>
      <w:pPr>
        <w:pStyle w:val="BodyText"/>
      </w:pPr>
      <w:r>
        <w:rPr>
          <w:lang w:val="es-CO"/>
        </w:rPr>
        <w:t xml:space="preserve">Las dependencias son de fin a inicio entre paquetes: el sucesor inicia en una semana posterior al fin de su predecesora. Los hitos se verifican al final de la semana de sus productos; por ello pueden compartir semana con las actividades que los habilitan. Los paquetes 1.4.1 y 1.4.2 se integran durante Semana 14 y habilitan el hito de cierre al terminarla.</w:t>
      </w:r>
    </w:p>
    <w:p>
      <w:pPr>
        <w:pStyle w:val="CaptionedFigure"/>
      </w:pPr>
      <w:r>
        <w:drawing>
          <wp:inline>
            <wp:extent cx="5334000" cy="3773497"/>
            <wp:effectExtent b="0" l="0" r="0" t="0"/>
            <wp:docPr descr="Cronograma Gantt del proyecto SIGEVET" title="" id="21" name="Picture"/>
            <a:graphic>
              <a:graphicData uri="http://schemas.openxmlformats.org/drawingml/2006/picture">
                <pic:pic>
                  <pic:nvPicPr>
                    <pic:cNvPr descr="diagramas/png/cronograma_gantt.png" id="22" name="Picture"/>
                    <pic:cNvPicPr>
                      <a:picLocks noChangeArrowheads="1" noChangeAspect="1"/>
                    </pic:cNvPicPr>
                  </pic:nvPicPr>
                  <pic:blipFill>
                    <a:blip r:embed="rId20"/>
                    <a:stretch>
                      <a:fillRect/>
                    </a:stretch>
                  </pic:blipFill>
                  <pic:spPr bwMode="auto">
                    <a:xfrm>
                      <a:off x="0" y="0"/>
                      <a:ext cx="5334000" cy="3773497"/>
                    </a:xfrm>
                    <a:prstGeom prst="rect">
                      <a:avLst/>
                    </a:prstGeom>
                    <a:noFill/>
                    <a:ln w="9525">
                      <a:noFill/>
                      <a:headEnd/>
                      <a:tailEnd/>
                    </a:ln>
                  </pic:spPr>
                </pic:pic>
              </a:graphicData>
            </a:graphic>
          </wp:inline>
        </w:drawing>
      </w:r>
    </w:p>
    <w:p>
      <w:pPr>
        <w:pStyle w:val="ImageCaption"/>
      </w:pPr>
      <w:r>
        <w:rPr>
          <w:lang w:val="es-CO"/>
        </w:rPr>
        <w:t xml:space="preserve">Cronograma Gantt del proyecto SIGEVET</w:t>
      </w:r>
    </w:p>
    <w:p>
      <w:pPr>
        <w:pStyle w:val="Heading1"/>
      </w:pPr>
      <w:bookmarkStart w:id="23" w:name="_12858697148b929f02085d58d3ddbc3fb86cc03"/>
      <w:r>
        <w:rPr>
          <w:rStyle w:val="SectionNumber"/>
          <w:lang w:val="es-CO"/>
        </w:rPr>
        <w:t xml:space="preserve">2</w:t>
      </w:r>
      <w:r>
        <w:tab/>
      </w:r>
      <w:r>
        <w:rPr>
          <w:lang w:val="es-CO"/>
        </w:rPr>
        <w:t xml:space="preserve">Actividades y responsables</w:t>
      </w:r>
      <w:bookmarkEnd w:id="23"/>
    </w:p>
    <w:p>
      <w:pPr>
        <w:pStyle w:val="FirstParagraph"/>
      </w:pPr>
      <w:r>
        <w:rPr>
          <w:lang w:val="es-CO"/>
        </w:rPr>
        <w:t xml:space="preserve">JD: Juan David Polo Herrera, Gerente del proyecto y DBA. SC: Sebastián Castellanos Parra, Analista y modelador de datos. JM: Juan Miguel Ramos, Desarrollador web e infraestructura. El responsable integra el resultado; los tres participan en sustentación y video dentro de la coordinación de sus respectivos paquetes.</w:t>
      </w:r>
    </w:p>
    <w:p>
      <w:pPr>
        <w:pStyle w:val="TableCaption"/>
      </w:pPr>
      <w:r>
        <w:rPr>
          <w:lang w:val="es-CO"/>
        </w:rPr>
        <w:t xml:space="preserve">Resumen del cronograma por rama de la EDT</w:t>
      </w:r>
    </w:p>
    <w:tbl>
      <w:tblPr>
        <w:tblStyle w:val="Table"/>
        <w:tblW w:type="pct" w:w="5000"/>
        <w:tblLayout w:type="fixed"/>
        <w:tblLook w:firstRow="1" w:lastRow="0" w:firstColumn="0" w:lastColumn="0" w:noHBand="0" w:noVBand="0" w:val="0020"/>
        <w:tblCaption w:val="Resumen del cronograma por rama de la EDT"/>
        <w:tblBorders>
          <w:top w:val="single" w:sz="4" w:color="A6A6A6"/>
          <w:left w:val="single" w:sz="4" w:color="A6A6A6"/>
          <w:bottom w:val="single" w:sz="4" w:color="A6A6A6"/>
          <w:right w:val="single" w:sz="4" w:color="A6A6A6"/>
          <w:insideH w:val="single" w:sz="4" w:color="A6A6A6"/>
          <w:insideV w:val="single" w:sz="4" w:color="A6A6A6"/>
        </w:tblBorders>
      </w:tblPr>
      <w:tblGrid>
        <w:gridCol w:w="1827"/>
        <w:gridCol w:w="1827"/>
        <w:gridCol w:w="1827"/>
        <w:gridCol w:w="2436"/>
      </w:tblGrid>
      <w:tr>
        <w:trPr>
          <w:tblHeader w:val="on"/>
        </w:trPr>
        <w:tc>
          <w:tcPr>
            <w:shd w:val="clear" w:fill="FBE5CC"/>
          </w:tcPr>
          <w:p>
            <w:pPr>
              <w:pStyle w:val="Compact"/>
            </w:pPr>
            <w:r>
              <w:rPr>
                <w:b/>
                <w:sz w:val="19"/>
                <w:lang w:val="es-CO"/>
              </w:rPr>
              <w:t xml:space="preserve">Rama EDT</w:t>
            </w:r>
          </w:p>
        </w:tc>
        <w:tc>
          <w:tcPr>
            <w:shd w:val="clear" w:fill="FBE5CC"/>
          </w:tcPr>
          <w:p>
            <w:pPr>
              <w:pStyle w:val="Compact"/>
            </w:pPr>
            <w:r>
              <w:rPr>
                <w:b/>
                <w:sz w:val="19"/>
                <w:lang w:val="es-CO"/>
              </w:rPr>
              <w:t xml:space="preserve">Paquetes y responsables</w:t>
            </w:r>
          </w:p>
        </w:tc>
        <w:tc>
          <w:tcPr>
            <w:shd w:val="clear" w:fill="FBE5CC"/>
          </w:tcPr>
          <w:p>
            <w:pPr>
              <w:pStyle w:val="Compact"/>
            </w:pPr>
            <w:r>
              <w:rPr>
                <w:b/>
                <w:sz w:val="19"/>
                <w:lang w:val="es-CO"/>
              </w:rPr>
              <w:t xml:space="preserve">Ventana de trabajo</w:t>
            </w:r>
          </w:p>
        </w:tc>
        <w:tc>
          <w:tcPr>
            <w:shd w:val="clear" w:fill="FBE5CC"/>
          </w:tcPr>
          <w:p>
            <w:pPr>
              <w:pStyle w:val="Compact"/>
              <w:jc w:val="right"/>
            </w:pPr>
            <w:r>
              <w:rPr>
                <w:b/>
                <w:sz w:val="19"/>
                <w:lang w:val="es-CO"/>
              </w:rPr>
              <w:t xml:space="preserve">Horas</w:t>
            </w:r>
          </w:p>
        </w:tc>
      </w:tr>
      <w:tr>
        <w:tc>
          <w:tcPr/>
          <w:p>
            <w:pPr>
              <w:pStyle w:val="Compact"/>
            </w:pPr>
            <w:r>
              <w:rPr>
                <w:sz w:val="19"/>
                <w:lang w:val="es-CO"/>
              </w:rPr>
              <w:t xml:space="preserve">1.1 Gestión</w:t>
            </w:r>
          </w:p>
        </w:tc>
        <w:tc>
          <w:tcPr/>
          <w:p>
            <w:pPr>
              <w:pStyle w:val="Compact"/>
            </w:pPr>
            <w:r>
              <w:rPr>
                <w:sz w:val="19"/>
                <w:lang w:val="es-CO"/>
              </w:rPr>
              <w:t xml:space="preserve">Acta y control (JD); interesados (SC)</w:t>
            </w:r>
          </w:p>
        </w:tc>
        <w:tc>
          <w:tcPr/>
          <w:p>
            <w:pPr>
              <w:pStyle w:val="Compact"/>
            </w:pPr>
            <w:r>
              <w:rPr>
                <w:sz w:val="19"/>
                <w:lang w:val="es-CO"/>
              </w:rPr>
              <w:t xml:space="preserve">Semana 1 a Semana 14</w:t>
            </w:r>
          </w:p>
        </w:tc>
        <w:tc>
          <w:tcPr/>
          <w:p>
            <w:pPr>
              <w:pStyle w:val="Compact"/>
              <w:jc w:val="right"/>
            </w:pPr>
            <w:r>
              <w:rPr>
                <w:sz w:val="19"/>
                <w:lang w:val="es-CO"/>
              </w:rPr>
              <w:t xml:space="preserve">52</w:t>
            </w:r>
          </w:p>
        </w:tc>
      </w:tr>
      <w:tr>
        <w:tc>
          <w:tcPr/>
          <w:p>
            <w:pPr>
              <w:pStyle w:val="Compact"/>
            </w:pPr>
            <w:r>
              <w:rPr>
                <w:sz w:val="19"/>
                <w:lang w:val="es-CO"/>
              </w:rPr>
              <w:t xml:space="preserve">1.2 Fase 1</w:t>
            </w:r>
          </w:p>
        </w:tc>
        <w:tc>
          <w:tcPr/>
          <w:p>
            <w:pPr>
              <w:pStyle w:val="Compact"/>
            </w:pPr>
            <w:r>
              <w:rPr>
                <w:sz w:val="19"/>
                <w:lang w:val="es-CO"/>
              </w:rPr>
              <w:t xml:space="preserve">Análisis y modelos (SC); relacional y 3FN (JD); diccionario (SC); álgebra (JM)</w:t>
            </w:r>
          </w:p>
        </w:tc>
        <w:tc>
          <w:tcPr/>
          <w:p>
            <w:pPr>
              <w:pStyle w:val="Compact"/>
            </w:pPr>
            <w:r>
              <w:rPr>
                <w:sz w:val="19"/>
                <w:lang w:val="es-CO"/>
              </w:rPr>
              <w:t xml:space="preserve">Semana 1 a Semana 8</w:t>
            </w:r>
          </w:p>
        </w:tc>
        <w:tc>
          <w:tcPr/>
          <w:p>
            <w:pPr>
              <w:pStyle w:val="Compact"/>
              <w:jc w:val="right"/>
            </w:pPr>
            <w:r>
              <w:rPr>
                <w:sz w:val="19"/>
                <w:lang w:val="es-CO"/>
              </w:rPr>
              <w:t xml:space="preserve">196</w:t>
            </w:r>
          </w:p>
        </w:tc>
      </w:tr>
      <w:tr>
        <w:tc>
          <w:tcPr/>
          <w:p>
            <w:pPr>
              <w:pStyle w:val="Compact"/>
            </w:pPr>
            <w:r>
              <w:rPr>
                <w:sz w:val="19"/>
                <w:lang w:val="es-CO"/>
              </w:rPr>
              <w:t xml:space="preserve">1.3 Fase 2</w:t>
            </w:r>
          </w:p>
        </w:tc>
        <w:tc>
          <w:tcPr/>
          <w:p>
            <w:pPr>
              <w:pStyle w:val="Compact"/>
            </w:pPr>
            <w:r>
              <w:rPr>
                <w:sz w:val="19"/>
                <w:lang w:val="es-CO"/>
              </w:rPr>
              <w:t xml:space="preserve">SO y VM (JM); RDBMS y scripts (JD); aplicación y video (JM); repositorio (JD)</w:t>
            </w:r>
          </w:p>
        </w:tc>
        <w:tc>
          <w:tcPr/>
          <w:p>
            <w:pPr>
              <w:pStyle w:val="Compact"/>
            </w:pPr>
            <w:r>
              <w:rPr>
                <w:sz w:val="19"/>
                <w:lang w:val="es-CO"/>
              </w:rPr>
              <w:t xml:space="preserve">Semana 9 a Semana 13; repositorio desde Semana 1</w:t>
            </w:r>
          </w:p>
        </w:tc>
        <w:tc>
          <w:tcPr/>
          <w:p>
            <w:pPr>
              <w:pStyle w:val="Compact"/>
              <w:jc w:val="right"/>
            </w:pPr>
            <w:r>
              <w:rPr>
                <w:sz w:val="19"/>
                <w:lang w:val="es-CO"/>
              </w:rPr>
              <w:t xml:space="preserve">121</w:t>
            </w:r>
          </w:p>
        </w:tc>
      </w:tr>
      <w:tr>
        <w:tc>
          <w:tcPr/>
          <w:p>
            <w:pPr>
              <w:pStyle w:val="Compact"/>
            </w:pPr>
            <w:r>
              <w:rPr>
                <w:sz w:val="19"/>
                <w:lang w:val="es-CO"/>
              </w:rPr>
              <w:t xml:space="preserve">1.4 Cierre</w:t>
            </w:r>
          </w:p>
        </w:tc>
        <w:tc>
          <w:tcPr/>
          <w:p>
            <w:pPr>
              <w:pStyle w:val="Compact"/>
            </w:pPr>
            <w:r>
              <w:rPr>
                <w:sz w:val="19"/>
                <w:lang w:val="es-CO"/>
              </w:rPr>
              <w:t xml:space="preserve">Sustentación y aceptación (SC); acta de cierre (JD)</w:t>
            </w:r>
          </w:p>
        </w:tc>
        <w:tc>
          <w:tcPr/>
          <w:p>
            <w:pPr>
              <w:pStyle w:val="Compact"/>
            </w:pPr>
            <w:r>
              <w:rPr>
                <w:sz w:val="19"/>
                <w:lang w:val="es-CO"/>
              </w:rPr>
              <w:t xml:space="preserve">Semana 14</w:t>
            </w:r>
          </w:p>
        </w:tc>
        <w:tc>
          <w:tcPr/>
          <w:p>
            <w:pPr>
              <w:pStyle w:val="Compact"/>
              <w:jc w:val="right"/>
            </w:pPr>
            <w:r>
              <w:rPr>
                <w:sz w:val="19"/>
                <w:lang w:val="es-CO"/>
              </w:rPr>
              <w:t xml:space="preserve">16</w:t>
            </w:r>
          </w:p>
        </w:tc>
      </w:tr>
      <w:tr>
        <w:tc>
          <w:tcPr/>
          <w:p>
            <w:pPr>
              <w:pStyle w:val="Compact"/>
            </w:pPr>
            <w:r>
              <w:rPr>
                <w:sz w:val="19"/>
                <w:lang w:val="es-CO"/>
              </w:rPr>
              <w:t xml:space="preserve">Total</w:t>
            </w:r>
          </w:p>
        </w:tc>
        <w:tc>
          <w:tcPr/>
          <w:p>
            <w:pPr>
              <w:pStyle w:val="Compact"/>
            </w:pPr>
            <w:r>
              <w:rPr>
                <w:sz w:val="19"/>
                <w:lang w:val="es-CO"/>
              </w:rPr>
              <w:t xml:space="preserve">Tres integrantes, 22 paquetes y tres hitos sin esfuerzo adicional</w:t>
            </w:r>
          </w:p>
        </w:tc>
        <w:tc>
          <w:tcPr/>
          <w:p>
            <w:pPr>
              <w:pStyle w:val="Compact"/>
            </w:pPr>
            <w:r>
              <w:rPr>
                <w:sz w:val="19"/>
                <w:lang w:val="es-CO"/>
              </w:rPr>
              <w:t xml:space="preserve">14 semanas</w:t>
            </w:r>
          </w:p>
        </w:tc>
        <w:tc>
          <w:tcPr/>
          <w:p>
            <w:pPr>
              <w:pStyle w:val="Compact"/>
              <w:jc w:val="right"/>
            </w:pPr>
            <w:r>
              <w:rPr>
                <w:sz w:val="19"/>
                <w:lang w:val="es-CO"/>
              </w:rPr>
              <w:t xml:space="preserve">385</w:t>
            </w:r>
          </w:p>
        </w:tc>
      </w:tr>
    </w:tbl>
    <w:p>
      <w:pPr>
        <w:pStyle w:val="FirstParagraph"/>
      </w:pPr>
      <w:r>
        <w:rPr>
          <w:lang w:val="es-CO"/>
        </w:rPr>
        <w:t xml:space="preserve">La hoja Tareas del Excel contiene el detalle de las 25 actividades e hitos: ID, actividad, responsable, semana de inicio, semana de fin, duración calculada, horas y predecesoras. La secuencia conduce a H1 en Semana 8, H2 en Semana 13 y H3 en Semana 14. El trabajo de repositorio empieza en Semana 1; la implementación de la plataforma comienza en Semana 9, después de H1.</w:t>
      </w:r>
    </w:p>
    <w:p>
      <w:pPr>
        <w:pStyle w:val="Heading1"/>
      </w:pPr>
      <w:bookmarkStart w:id="24" w:name="_c828a6659e5741efd7ea04bd36d7d7018170795"/>
      <w:r>
        <w:rPr>
          <w:rStyle w:val="SectionNumber"/>
          <w:lang w:val="es-CO"/>
        </w:rPr>
        <w:t xml:space="preserve">3</w:t>
      </w:r>
      <w:r>
        <w:tab/>
      </w:r>
      <w:r>
        <w:rPr>
          <w:lang w:val="es-CO"/>
        </w:rPr>
        <w:t xml:space="preserve">Resumen semanal de resultados</w:t>
      </w:r>
      <w:bookmarkEnd w:id="24"/>
    </w:p>
    <w:p>
      <w:pPr>
        <w:pStyle w:val="TableCaption"/>
      </w:pPr>
      <w:r>
        <w:rPr>
          <w:lang w:val="es-CO"/>
        </w:rPr>
        <w:t xml:space="preserve">Cobertura del horizonte de catorce semanas</w:t>
      </w:r>
    </w:p>
    <w:tbl>
      <w:tblPr>
        <w:tblStyle w:val="Table"/>
        <w:tblW w:type="pct" w:w="5000"/>
        <w:tblLayout w:type="fixed"/>
        <w:tblLook w:firstRow="1" w:lastRow="0" w:firstColumn="0" w:lastColumn="0" w:noHBand="0" w:noVBand="0" w:val="0020"/>
        <w:tblCaption w:val="Cobertura del horizonte de catorce semanas"/>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Semana</w:t>
            </w:r>
          </w:p>
        </w:tc>
        <w:tc>
          <w:tcPr>
            <w:shd w:val="clear" w:fill="FBE5CC"/>
          </w:tcPr>
          <w:p>
            <w:pPr>
              <w:pStyle w:val="Compact"/>
            </w:pPr>
            <w:r>
              <w:rPr>
                <w:b/>
                <w:sz w:val="19"/>
                <w:lang w:val="es-CO"/>
              </w:rPr>
              <w:t xml:space="preserve">Resultado principal</w:t>
            </w:r>
          </w:p>
        </w:tc>
      </w:tr>
      <w:tr>
        <w:tc>
          <w:tcPr/>
          <w:p>
            <w:pPr>
              <w:pStyle w:val="Compact"/>
            </w:pPr>
            <w:r>
              <w:rPr>
                <w:sz w:val="19"/>
                <w:lang w:val="es-CO"/>
              </w:rPr>
              <w:t xml:space="preserve">Semana 1</w:t>
            </w:r>
          </w:p>
        </w:tc>
        <w:tc>
          <w:tcPr/>
          <w:p>
            <w:pPr>
              <w:pStyle w:val="Compact"/>
            </w:pPr>
            <w:r>
              <w:rPr>
                <w:sz w:val="19"/>
                <w:lang w:val="es-CO"/>
              </w:rPr>
              <w:t xml:space="preserve">Constitución, propuesta e inicio del registro de interesados, seguimiento y repositorio.</w:t>
            </w:r>
          </w:p>
        </w:tc>
      </w:tr>
      <w:tr>
        <w:tc>
          <w:tcPr/>
          <w:p>
            <w:pPr>
              <w:pStyle w:val="Compact"/>
            </w:pPr>
            <w:r>
              <w:rPr>
                <w:sz w:val="19"/>
                <w:lang w:val="es-CO"/>
              </w:rPr>
              <w:t xml:space="preserve">Semana 2</w:t>
            </w:r>
          </w:p>
        </w:tc>
        <w:tc>
          <w:tcPr/>
          <w:p>
            <w:pPr>
              <w:pStyle w:val="Compact"/>
            </w:pPr>
            <w:r>
              <w:rPr>
                <w:sz w:val="19"/>
                <w:lang w:val="es-CO"/>
              </w:rPr>
              <w:t xml:space="preserve">Supuestos y registro de interesados completos.</w:t>
            </w:r>
          </w:p>
        </w:tc>
      </w:tr>
      <w:tr>
        <w:tc>
          <w:tcPr/>
          <w:p>
            <w:pPr>
              <w:pStyle w:val="Compact"/>
            </w:pPr>
            <w:r>
              <w:rPr>
                <w:sz w:val="19"/>
                <w:lang w:val="es-CO"/>
              </w:rPr>
              <w:t xml:space="preserve">Semana 3</w:t>
            </w:r>
          </w:p>
        </w:tc>
        <w:tc>
          <w:tcPr/>
          <w:p>
            <w:pPr>
              <w:pStyle w:val="Compact"/>
            </w:pPr>
            <w:r>
              <w:rPr>
                <w:sz w:val="19"/>
                <w:lang w:val="es-CO"/>
              </w:rPr>
              <w:t xml:space="preserve">MER Chen y cardinalidades revisadas.</w:t>
            </w:r>
          </w:p>
        </w:tc>
      </w:tr>
      <w:tr>
        <w:tc>
          <w:tcPr/>
          <w:p>
            <w:pPr>
              <w:pStyle w:val="Compact"/>
            </w:pPr>
            <w:r>
              <w:rPr>
                <w:sz w:val="19"/>
                <w:lang w:val="es-CO"/>
              </w:rPr>
              <w:t xml:space="preserve">Semana 4</w:t>
            </w:r>
          </w:p>
        </w:tc>
        <w:tc>
          <w:tcPr/>
          <w:p>
            <w:pPr>
              <w:pStyle w:val="Compact"/>
            </w:pPr>
            <w:r>
              <w:rPr>
                <w:sz w:val="19"/>
                <w:lang w:val="es-CO"/>
              </w:rPr>
              <w:t xml:space="preserve">MER Extendido y especialización de empleados.</w:t>
            </w:r>
          </w:p>
        </w:tc>
      </w:tr>
      <w:tr>
        <w:tc>
          <w:tcPr/>
          <w:p>
            <w:pPr>
              <w:pStyle w:val="Compact"/>
            </w:pPr>
            <w:r>
              <w:rPr>
                <w:sz w:val="19"/>
                <w:lang w:val="es-CO"/>
              </w:rPr>
              <w:t xml:space="preserve">Semana 5</w:t>
            </w:r>
          </w:p>
        </w:tc>
        <w:tc>
          <w:tcPr/>
          <w:p>
            <w:pPr>
              <w:pStyle w:val="Compact"/>
            </w:pPr>
            <w:r>
              <w:rPr>
                <w:sz w:val="19"/>
                <w:lang w:val="es-CO"/>
              </w:rPr>
              <w:t xml:space="preserve">MER Barker / Crow’s Foot en MySQL Workbench.</w:t>
            </w:r>
          </w:p>
        </w:tc>
      </w:tr>
      <w:tr>
        <w:tc>
          <w:tcPr/>
          <w:p>
            <w:pPr>
              <w:pStyle w:val="Compact"/>
            </w:pPr>
            <w:r>
              <w:rPr>
                <w:sz w:val="19"/>
                <w:lang w:val="es-CO"/>
              </w:rPr>
              <w:t xml:space="preserve">Semana 6</w:t>
            </w:r>
          </w:p>
        </w:tc>
        <w:tc>
          <w:tcPr/>
          <w:p>
            <w:pPr>
              <w:pStyle w:val="Compact"/>
            </w:pPr>
            <w:r>
              <w:rPr>
                <w:sz w:val="19"/>
                <w:lang w:val="es-CO"/>
              </w:rPr>
              <w:t xml:space="preserve">Modelo relacional con llaves y restricciones.</w:t>
            </w:r>
          </w:p>
        </w:tc>
      </w:tr>
      <w:tr>
        <w:tc>
          <w:tcPr/>
          <w:p>
            <w:pPr>
              <w:pStyle w:val="Compact"/>
            </w:pPr>
            <w:r>
              <w:rPr>
                <w:sz w:val="19"/>
                <w:lang w:val="es-CO"/>
              </w:rPr>
              <w:t xml:space="preserve">Semana 7</w:t>
            </w:r>
          </w:p>
        </w:tc>
        <w:tc>
          <w:tcPr/>
          <w:p>
            <w:pPr>
              <w:pStyle w:val="Compact"/>
            </w:pPr>
            <w:r>
              <w:rPr>
                <w:sz w:val="19"/>
                <w:lang w:val="es-CO"/>
              </w:rPr>
              <w:t xml:space="preserve">Normalización e inicio de verificación del álgebra.</w:t>
            </w:r>
          </w:p>
        </w:tc>
      </w:tr>
      <w:tr>
        <w:tc>
          <w:tcPr/>
          <w:p>
            <w:pPr>
              <w:pStyle w:val="Compact"/>
            </w:pPr>
            <w:r>
              <w:rPr>
                <w:sz w:val="19"/>
                <w:lang w:val="es-CO"/>
              </w:rPr>
              <w:t xml:space="preserve">Semana 8</w:t>
            </w:r>
          </w:p>
        </w:tc>
        <w:tc>
          <w:tcPr/>
          <w:p>
            <w:pPr>
              <w:pStyle w:val="Compact"/>
            </w:pPr>
            <w:r>
              <w:rPr>
                <w:sz w:val="19"/>
                <w:lang w:val="es-CO"/>
              </w:rPr>
              <w:t xml:space="preserve">Diccionario, 55 ejercicios y fin de Fase 1.</w:t>
            </w:r>
          </w:p>
        </w:tc>
      </w:tr>
      <w:tr>
        <w:tc>
          <w:tcPr/>
          <w:p>
            <w:pPr>
              <w:pStyle w:val="Compact"/>
            </w:pPr>
            <w:r>
              <w:rPr>
                <w:sz w:val="19"/>
                <w:lang w:val="es-CO"/>
              </w:rPr>
              <w:t xml:space="preserve">Semana 9</w:t>
            </w:r>
          </w:p>
        </w:tc>
        <w:tc>
          <w:tcPr/>
          <w:p>
            <w:pPr>
              <w:pStyle w:val="Compact"/>
            </w:pPr>
            <w:r>
              <w:rPr>
                <w:sz w:val="19"/>
                <w:lang w:val="es-CO"/>
              </w:rPr>
              <w:t xml:space="preserve">Análisis de selección de SO y RDBMS.</w:t>
            </w:r>
          </w:p>
        </w:tc>
      </w:tr>
      <w:tr>
        <w:tc>
          <w:tcPr/>
          <w:p>
            <w:pPr>
              <w:pStyle w:val="Compact"/>
            </w:pPr>
            <w:r>
              <w:rPr>
                <w:sz w:val="19"/>
                <w:lang w:val="es-CO"/>
              </w:rPr>
              <w:t xml:space="preserve">Semana 10</w:t>
            </w:r>
          </w:p>
        </w:tc>
        <w:tc>
          <w:tcPr/>
          <w:p>
            <w:pPr>
              <w:pStyle w:val="Compact"/>
            </w:pPr>
            <w:r>
              <w:rPr>
                <w:sz w:val="19"/>
                <w:lang w:val="es-CO"/>
              </w:rPr>
              <w:t xml:space="preserve">Máquina virtual implementada.</w:t>
            </w:r>
          </w:p>
        </w:tc>
      </w:tr>
      <w:tr>
        <w:tc>
          <w:tcPr/>
          <w:p>
            <w:pPr>
              <w:pStyle w:val="Compact"/>
            </w:pPr>
            <w:r>
              <w:rPr>
                <w:sz w:val="19"/>
                <w:lang w:val="es-CO"/>
              </w:rPr>
              <w:t xml:space="preserve">Semana 11</w:t>
            </w:r>
          </w:p>
        </w:tc>
        <w:tc>
          <w:tcPr/>
          <w:p>
            <w:pPr>
              <w:pStyle w:val="Compact"/>
            </w:pPr>
            <w:r>
              <w:rPr>
                <w:sz w:val="19"/>
                <w:lang w:val="es-CO"/>
              </w:rPr>
              <w:t xml:space="preserve">RDBMS configurado.</w:t>
            </w:r>
          </w:p>
        </w:tc>
      </w:tr>
      <w:tr>
        <w:tc>
          <w:tcPr/>
          <w:p>
            <w:pPr>
              <w:pStyle w:val="Compact"/>
            </w:pPr>
            <w:r>
              <w:rPr>
                <w:sz w:val="19"/>
                <w:lang w:val="es-CO"/>
              </w:rPr>
              <w:t xml:space="preserve">Semana 12</w:t>
            </w:r>
          </w:p>
        </w:tc>
        <w:tc>
          <w:tcPr/>
          <w:p>
            <w:pPr>
              <w:pStyle w:val="Compact"/>
            </w:pPr>
            <w:r>
              <w:rPr>
                <w:sz w:val="19"/>
                <w:lang w:val="es-CO"/>
              </w:rPr>
              <w:t xml:space="preserve">Scripts y README reproducibles.</w:t>
            </w:r>
          </w:p>
        </w:tc>
      </w:tr>
      <w:tr>
        <w:tc>
          <w:tcPr/>
          <w:p>
            <w:pPr>
              <w:pStyle w:val="Compact"/>
            </w:pPr>
            <w:r>
              <w:rPr>
                <w:sz w:val="19"/>
                <w:lang w:val="es-CO"/>
              </w:rPr>
              <w:t xml:space="preserve">Semana 13</w:t>
            </w:r>
          </w:p>
        </w:tc>
        <w:tc>
          <w:tcPr/>
          <w:p>
            <w:pPr>
              <w:pStyle w:val="Compact"/>
            </w:pPr>
            <w:r>
              <w:rPr>
                <w:sz w:val="19"/>
                <w:lang w:val="es-CO"/>
              </w:rPr>
              <w:t xml:space="preserve">Aplicación conectada, repositorio consolidado, video y fin de Fase 2.</w:t>
            </w:r>
          </w:p>
        </w:tc>
      </w:tr>
      <w:tr>
        <w:tc>
          <w:tcPr/>
          <w:p>
            <w:pPr>
              <w:pStyle w:val="Compact"/>
            </w:pPr>
            <w:r>
              <w:rPr>
                <w:sz w:val="19"/>
                <w:lang w:val="es-CO"/>
              </w:rPr>
              <w:t xml:space="preserve">Semana 14</w:t>
            </w:r>
          </w:p>
        </w:tc>
        <w:tc>
          <w:tcPr/>
          <w:p>
            <w:pPr>
              <w:pStyle w:val="Compact"/>
            </w:pPr>
            <w:r>
              <w:rPr>
                <w:sz w:val="19"/>
                <w:lang w:val="es-CO"/>
              </w:rPr>
              <w:t xml:space="preserve">Sustentación, aceptación y acta de cierre.</w:t>
            </w:r>
          </w:p>
        </w:tc>
      </w:tr>
    </w:tbl>
    <w:p>
      <w:pPr>
        <w:pStyle w:val="Heading1"/>
      </w:pPr>
      <w:bookmarkStart w:id="25" w:name="_699512dca7dd5bbbf4ef1bb7f7f3d2f98ff92b5"/>
      <w:r>
        <w:rPr>
          <w:rStyle w:val="SectionNumber"/>
          <w:lang w:val="es-CO"/>
        </w:rPr>
        <w:t xml:space="preserve">4</w:t>
      </w:r>
      <w:r>
        <w:tab/>
      </w:r>
      <w:r>
        <w:rPr>
          <w:lang w:val="es-CO"/>
        </w:rPr>
        <w:t xml:space="preserve">Carga de trabajo y control</w:t>
      </w:r>
      <w:bookmarkEnd w:id="25"/>
    </w:p>
    <w:p>
      <w:pPr>
        <w:pStyle w:val="TableCaption"/>
      </w:pPr>
      <w:r>
        <w:rPr>
          <w:lang w:val="es-CO"/>
        </w:rPr>
        <w:t xml:space="preserve">Carga acumulada por integrante</w:t>
      </w:r>
    </w:p>
    <w:tbl>
      <w:tblPr>
        <w:tblStyle w:val="Table"/>
        <w:tblW w:type="pct" w:w="5000"/>
        <w:tblLayout w:type="fixed"/>
        <w:tblLook w:firstRow="1" w:lastRow="0" w:firstColumn="0" w:lastColumn="0" w:noHBand="0" w:noVBand="0" w:val="0020"/>
        <w:tblCaption w:val="Carga acumulada por integrante"/>
        <w:tblBorders>
          <w:top w:val="single" w:sz="4" w:color="A6A6A6"/>
          <w:left w:val="single" w:sz="4" w:color="A6A6A6"/>
          <w:bottom w:val="single" w:sz="4" w:color="A6A6A6"/>
          <w:right w:val="single" w:sz="4" w:color="A6A6A6"/>
          <w:insideH w:val="single" w:sz="4" w:color="A6A6A6"/>
          <w:insideV w:val="single" w:sz="4" w:color="A6A6A6"/>
        </w:tblBorders>
      </w:tblPr>
      <w:tblGrid>
        <w:gridCol w:w="2376"/>
        <w:gridCol w:w="3168"/>
        <w:gridCol w:w="2376"/>
      </w:tblGrid>
      <w:tr>
        <w:trPr>
          <w:tblHeader w:val="on"/>
        </w:trPr>
        <w:tc>
          <w:tcPr>
            <w:shd w:val="clear" w:fill="FBE5CC"/>
          </w:tcPr>
          <w:p>
            <w:pPr>
              <w:pStyle w:val="Compact"/>
            </w:pPr>
            <w:r>
              <w:rPr>
                <w:b/>
                <w:sz w:val="19"/>
                <w:lang w:val="es-CO"/>
              </w:rPr>
              <w:t xml:space="preserve">Integrante</w:t>
            </w:r>
          </w:p>
        </w:tc>
        <w:tc>
          <w:tcPr>
            <w:shd w:val="clear" w:fill="FBE5CC"/>
          </w:tcPr>
          <w:p>
            <w:pPr>
              <w:pStyle w:val="Compact"/>
              <w:jc w:val="right"/>
            </w:pPr>
            <w:r>
              <w:rPr>
                <w:b/>
                <w:sz w:val="19"/>
                <w:lang w:val="es-CO"/>
              </w:rPr>
              <w:t xml:space="preserve">Horas estimadas</w:t>
            </w:r>
          </w:p>
        </w:tc>
        <w:tc>
          <w:tcPr>
            <w:shd w:val="clear" w:fill="FBE5CC"/>
          </w:tcPr>
          <w:p>
            <w:pPr>
              <w:pStyle w:val="Compact"/>
            </w:pPr>
            <w:r>
              <w:rPr>
                <w:b/>
                <w:sz w:val="19"/>
                <w:lang w:val="es-CO"/>
              </w:rPr>
              <w:t xml:space="preserve">Criterio de distribución</w:t>
            </w:r>
          </w:p>
        </w:tc>
      </w:tr>
      <w:tr>
        <w:tc>
          <w:tcPr/>
          <w:p>
            <w:pPr>
              <w:pStyle w:val="Compact"/>
            </w:pPr>
            <w:r>
              <w:rPr>
                <w:sz w:val="19"/>
                <w:lang w:val="es-CO"/>
              </w:rPr>
              <w:t xml:space="preserve">Juan David Polo Herrera</w:t>
            </w:r>
          </w:p>
        </w:tc>
        <w:tc>
          <w:tcPr/>
          <w:p>
            <w:pPr>
              <w:pStyle w:val="Compact"/>
              <w:jc w:val="right"/>
            </w:pPr>
            <w:r>
              <w:rPr>
                <w:sz w:val="19"/>
                <w:lang w:val="es-CO"/>
              </w:rPr>
              <w:t xml:space="preserve">153</w:t>
            </w:r>
          </w:p>
        </w:tc>
        <w:tc>
          <w:tcPr/>
          <w:p>
            <w:pPr>
              <w:pStyle w:val="Compact"/>
            </w:pPr>
            <w:r>
              <w:rPr>
                <w:sz w:val="19"/>
                <w:lang w:val="es-CO"/>
              </w:rPr>
              <w:t xml:space="preserve">Gestión, diseño relacional, normalización, RDBMS y scripts.</w:t>
            </w:r>
          </w:p>
        </w:tc>
      </w:tr>
      <w:tr>
        <w:tc>
          <w:tcPr/>
          <w:p>
            <w:pPr>
              <w:pStyle w:val="Compact"/>
            </w:pPr>
            <w:r>
              <w:rPr>
                <w:sz w:val="19"/>
                <w:lang w:val="es-CO"/>
              </w:rPr>
              <w:t xml:space="preserve">Sebastián Castellanos Parra</w:t>
            </w:r>
          </w:p>
        </w:tc>
        <w:tc>
          <w:tcPr/>
          <w:p>
            <w:pPr>
              <w:pStyle w:val="Compact"/>
              <w:jc w:val="right"/>
            </w:pPr>
            <w:r>
              <w:rPr>
                <w:sz w:val="19"/>
                <w:lang w:val="es-CO"/>
              </w:rPr>
              <w:t xml:space="preserve">136</w:t>
            </w:r>
          </w:p>
        </w:tc>
        <w:tc>
          <w:tcPr/>
          <w:p>
            <w:pPr>
              <w:pStyle w:val="Compact"/>
            </w:pPr>
            <w:r>
              <w:rPr>
                <w:sz w:val="19"/>
                <w:lang w:val="es-CO"/>
              </w:rPr>
              <w:t xml:space="preserve">Interesados, análisis, modelos conceptuales y lógico, diccionario y aceptación.</w:t>
            </w:r>
          </w:p>
        </w:tc>
      </w:tr>
      <w:tr>
        <w:tc>
          <w:tcPr/>
          <w:p>
            <w:pPr>
              <w:pStyle w:val="Compact"/>
            </w:pPr>
            <w:r>
              <w:rPr>
                <w:sz w:val="19"/>
                <w:lang w:val="es-CO"/>
              </w:rPr>
              <w:t xml:space="preserve">Juan Miguel Ramos</w:t>
            </w:r>
          </w:p>
        </w:tc>
        <w:tc>
          <w:tcPr/>
          <w:p>
            <w:pPr>
              <w:pStyle w:val="Compact"/>
              <w:jc w:val="right"/>
            </w:pPr>
            <w:r>
              <w:rPr>
                <w:sz w:val="19"/>
                <w:lang w:val="es-CO"/>
              </w:rPr>
              <w:t xml:space="preserve">96</w:t>
            </w:r>
          </w:p>
        </w:tc>
        <w:tc>
          <w:tcPr/>
          <w:p>
            <w:pPr>
              <w:pStyle w:val="Compact"/>
            </w:pPr>
            <w:r>
              <w:rPr>
                <w:sz w:val="19"/>
                <w:lang w:val="es-CO"/>
              </w:rPr>
              <w:t xml:space="preserve">Álgebra, SO, VM, conexión web y video.</w:t>
            </w:r>
          </w:p>
        </w:tc>
      </w:tr>
      <w:tr>
        <w:tc>
          <w:tcPr/>
          <w:p>
            <w:pPr>
              <w:pStyle w:val="Compact"/>
            </w:pPr>
            <w:r>
              <w:rPr>
                <w:sz w:val="19"/>
                <w:lang w:val="es-CO"/>
              </w:rPr>
              <w:t xml:space="preserve">Total</w:t>
            </w:r>
          </w:p>
        </w:tc>
        <w:tc>
          <w:tcPr/>
          <w:p>
            <w:pPr>
              <w:pStyle w:val="Compact"/>
              <w:jc w:val="right"/>
            </w:pPr>
            <w:r>
              <w:rPr>
                <w:sz w:val="19"/>
                <w:lang w:val="es-CO"/>
              </w:rPr>
              <w:t xml:space="preserve">385</w:t>
            </w:r>
          </w:p>
        </w:tc>
        <w:tc>
          <w:tcPr/>
          <w:p>
            <w:pPr>
              <w:pStyle w:val="Compact"/>
            </w:pPr>
            <w:r>
              <w:rPr>
                <w:sz w:val="19"/>
                <w:lang w:val="es-CO"/>
              </w:rPr>
              <w:t xml:space="preserve">Esfuerzo imputado al presupuesto, sin sumar horas de hitos.</w:t>
            </w:r>
          </w:p>
        </w:tc>
      </w:tr>
    </w:tbl>
    <w:p>
      <w:pPr>
        <w:pStyle w:val="FirstParagraph"/>
      </w:pPr>
      <w:r>
        <w:rPr>
          <w:lang w:val="es-CO"/>
        </w:rPr>
        <w:t xml:space="preserve">Para estimar carga semanal, las horas se distribuyen uniformemente dentro de la duración de cada paquete. Con ese criterio la mayor carga es de 35 horas en una semana para JD; las ventanas admiten revisiones sin modificar los hitos. Una semana de duración no equivale a 40 horas presupuestadas.</w:t>
      </w:r>
    </w:p>
    <w:p>
      <w:pPr>
        <w:pStyle w:val="BodyText"/>
      </w:pPr>
      <w:r>
        <w:rPr>
          <w:lang w:val="es-CO"/>
        </w:rPr>
        <w:t xml:space="preserve">El libro</w:t>
      </w:r>
      <w:r>
        <w:rPr>
          <w:lang w:val="es-CO"/>
        </w:rPr>
        <w:t xml:space="preserve"> </w:t>
      </w:r>
      <w:r>
        <w:rPr>
          <w:rStyle w:val="VerbatimChar"/>
          <w:lang w:val="es-CO"/>
        </w:rPr>
        <w:t xml:space="preserve">entregables/Transversales/04_Cronograma_SIGEVET.xlsx</w:t>
      </w:r>
      <w:r>
        <w:rPr>
          <w:lang w:val="es-CO"/>
        </w:rPr>
        <w:t xml:space="preserve"> </w:t>
      </w:r>
      <w:r>
        <w:rPr>
          <w:lang w:val="es-CO"/>
        </w:rPr>
        <w:t xml:space="preserve">contiene las hojas Tareas y Gantt. Tareas calcula duración como fin menos inicio más uno; para hitos utiliza cero. Gantt referencia Tareas y señala semanas activas mediante fórmulas y formato condicional. Las fórmulas se recalculan al abrir en Excel o una aplicación compatible. La imagen se genera con la misma lista de actividades.</w:t>
      </w:r>
    </w:p>
    <w:p>
      <w:pPr>
        <w:pStyle w:val="BodyText"/>
      </w:pPr>
      <w:r>
        <w:rPr>
          <w:lang w:val="es-CO"/>
        </w:rPr>
        <w:t xml:space="preserve">Cada semana el gerente revisa avance, esfuerzo pendiente y predecesoras. Si un cambio compromete Semana 8, Semana 13 o Semana 14, el equipo plantea redistribución de horas y solicita validación al docente antes de modificar la línea base.</w:t>
      </w:r>
    </w:p>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Cronograma del proyecto — SIGEVET</dc:title>
  <dc:creator>Sebastián Castellanos Parra, Juan David Polo Herrera, Juan Miguel Ramos</dc:creator>
  <dc:language>es-CO</dc:language>
  <cp:keywords/>
  <dcterms:created xsi:type="dcterms:W3CDTF">2026-10-22T03:21:44Z</dcterms:created>
  <dcterms:modified xsi:type="dcterms:W3CDTF">2026-10-22T03:21:44Z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Transversal</vt:lpwstr>
  </property>
  <property fmtid="{D5CDD505-2E9C-101B-9397-08002B2CF9AE}" pid="3" name="subtitle">
    <vt:lpwstr>Cronograma del proyecto</vt:lpwstr>
  </property>
  <property fmtid="{D5CDD505-2E9C-101B-9397-08002B2CF9AE}" pid="4" name="toc-title">
    <vt:lpwstr>Tabla de contenido</vt:lpwstr>
  </property>
  <property fmtid="{D5CDD505-2E9C-101B-9397-08002B2CF9AE}" pid="5" name="version">
    <vt:lpwstr>1.0</vt:lpwstr>
  </property>
</Properties>
</file>