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Barker / Crow's Foot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Los modelos Barker y Crow’s Foot se hicieron en Draw.io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22 tablas y 30 llaves foráneas</w:t>
      </w:r>
      <w:r>
        <w:rPr>
          <w:lang w:val="es-CO"/>
        </w:rPr>
        <w:t xml:space="preserve">, sin tipos SQL (están en el documento 6). Workbench queda como respaldo.</w:t>
      </w:r>
    </w:p>
    <w:p>
      <w:pPr>
        <w:pStyle w:val="Heading1"/>
      </w:pPr>
      <w:bookmarkStart w:id="20" w:name="_0e967c4830aa7be075a15ce16560b0d383d6f1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Barker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redondeada con nombre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obligatoria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opcional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junto 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mitad indica la obligatoriedad de la entidad contigua: CIUDAD debe pertenecer a un DEPARTAMENTO; este puede tener ciudades.</w:t>
      </w:r>
    </w:p>
    <w:p>
      <w:pPr>
        <w:pStyle w:val="CaptionedFigure"/>
      </w:pPr>
      <w:r>
        <w:drawing>
          <wp:inline>
            <wp:extent cx="5334000" cy="4796652"/>
            <wp:effectExtent b="0" l="0" r="0" t="0"/>
            <wp:docPr descr="Modelo de SIGEVET en notación Barker (Draw.io)" title="" id="22" name="Picture"/>
            <a:graphic>
              <a:graphicData uri="http://schemas.openxmlformats.org/drawingml/2006/picture">
                <pic:pic>
                  <pic:nvPicPr>
                    <pic:cNvPr descr="diagramas/png/15_Barker_Globa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6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de SIGEVET en notación Barker (Draw.io)</w:t>
      </w:r>
    </w:p>
    <w:p>
      <w:pPr>
        <w:pStyle w:val="Heading2"/>
      </w:pPr>
      <w:bookmarkStart w:id="24" w:name="_observaciones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Observaciones</w:t>
      </w:r>
      <w:bookmarkEnd w:id="24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Subtipos:</w:t>
      </w:r>
      <w:r>
        <w:rPr>
          <w:lang w:val="es-CO"/>
        </w:rPr>
        <w:t xml:space="preserve"> </w:t>
      </w:r>
      <w:r>
        <w:rPr>
          <w:lang w:val="es-CO"/>
        </w:rPr>
        <w:t xml:space="preserve">opción 8A; ATENDER, CERTIFICAR y ASISTIR apuntan al subtipo correspondiente.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Identificadoras: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e intersecciones heredan UID (</w:t>
      </w:r>
      <w:r>
        <w:rPr>
          <w:rStyle w:val="VerbatimChar"/>
          <w:lang w:val="es-CO"/>
        </w:rPr>
        <w:t xml:space="preserve">#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[FK]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1:1:</w:t>
      </w:r>
      <w:r>
        <w:rPr>
          <w:lang w:val="es-CO"/>
        </w:rPr>
        <w:t xml:space="preserve"> </w:t>
      </w:r>
      <w:r>
        <w:rPr>
          <w:lang w:val="es-CO"/>
        </w:rPr>
        <w:t xml:space="preserve">DIRIGIR, TENER y GENERAR, sin patas.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Ciclo SEDE–EMPLEADO:</w:t>
      </w:r>
      <w:r>
        <w:rPr>
          <w:lang w:val="es-CO"/>
        </w:rPr>
        <w:t xml:space="preserve"> </w:t>
      </w:r>
      <w:r>
        <w:rPr>
          <w:lang w:val="es-CO"/>
        </w:rPr>
        <w:t xml:space="preserve">LABORAR (1:N) y DIRIGIR (1:1).</w:t>
      </w:r>
    </w:p>
    <w:p>
      <w:pPr>
        <w:pStyle w:val="Heading1"/>
      </w:pPr>
      <w:bookmarkStart w:id="25" w:name="_08e03a0242717f1a86fdbec2025590c3d5d46a5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Crow’s Foot</w:t>
      </w:r>
      <w:bookmarkEnd w:id="25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símbolo cercano indica el máximo y el lejano el mínimo. CLIENTE lleva dos barras y MASCOTA lleva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: toda mascota tiene dueño, pero un cliente puede tener cero mascotas.</w:t>
      </w:r>
    </w:p>
    <w:p>
      <w:pPr>
        <w:pStyle w:val="CaptionedFigure"/>
      </w:pPr>
      <w:r>
        <w:drawing>
          <wp:inline>
            <wp:extent cx="5334000" cy="4820695"/>
            <wp:effectExtent b="0" l="0" r="0" t="0"/>
            <wp:docPr descr="MER de SIGEVET en notación Crow’s Foot (Draw.io)" title="" id="27" name="Picture"/>
            <a:graphic>
              <a:graphicData uri="http://schemas.openxmlformats.org/drawingml/2006/picture">
                <pic:pic>
                  <pic:nvPicPr>
                    <pic:cNvPr descr="diagramas/png/19_CrowsFoot_Globa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(Draw.io)</w:t>
      </w:r>
    </w:p>
    <w:p>
      <w:pPr>
        <w:pStyle w:val="FirstParagraph"/>
      </w:pPr>
      <w:r>
        <w:rPr>
          <w:lang w:val="es-CO"/>
        </w:rPr>
        <w:t xml:space="preserve">PK/FK y UQn indican llaves y grupos UNIQUE. Las líneas identificadoras son continuas; las demás, discontinuas. El DDL admite padres sin hijos y UNIQUE limita el máximo a uno; los mínimos conceptuales requieren reglas adicionales.</w:t>
      </w:r>
    </w:p>
    <w:p>
      <w:pPr>
        <w:pStyle w:val="Heading1"/>
      </w:pPr>
      <w:bookmarkStart w:id="29" w:name="_b034ccfeba9edf4c3e68fa7a12d95517b0edb5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Entidades del modelo lógico</w:t>
      </w:r>
      <w:bookmarkEnd w:id="29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CERTIFICAR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PRESCRIBIR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ALMACENAR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1"/>
      </w:pPr>
      <w:bookmarkStart w:id="30" w:name="_438591ba5da3530aed1953a025f9e1d2f4556c0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Archivos editables</w:t>
      </w:r>
      <w:bookmarkEnd w:id="30"/>
    </w:p>
    <w:p>
      <w:pPr>
        <w:pStyle w:val="FirstParagraph"/>
      </w:pPr>
      <w:r>
        <w:rPr>
          <w:lang w:val="es-CO"/>
        </w:rPr>
        <w:t xml:space="preserve">Distribución por áreas desde nulabilidad, PK, UNIQUE y FK del DDL. Barker expresa las FK mediante relaciones.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Hojas Draw.io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15–18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 global y áreas de organización, clínica y comercial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19–22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Crow’s Foot global y las mismas áreas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23–26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con tipos MySQL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Entrega: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.drawio</w:t>
      </w:r>
      <w:r>
        <w:rPr>
          <w:lang w:val="es-CO"/>
        </w:rPr>
        <w:t xml:space="preserve">, PNG y PDF.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Barker / Crow's Foot — SIGEVET</dc:title>
  <dc:creator>Sebastián Castellanos Parra, Juan David Polo Herrera, Juan Miguel Ramos</dc:creator>
  <dc:language>es-CO</dc:language>
  <cp:keywords/>
  <dcterms:created xsi:type="dcterms:W3CDTF">2026-10-26T22:49:01Z</dcterms:created>
  <dcterms:modified xsi:type="dcterms:W3CDTF">2026-10-26T22:49:01Z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Barker / Crow’s Foot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