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criterios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Criterios</w:t>
      </w:r>
      <w:bookmarkEnd w:id="19"/>
    </w:p>
    <w:p>
      <w:pPr>
        <w:pStyle w:val="FirstParagraph"/>
      </w:pPr>
      <w:r>
        <w:rPr>
          <w:lang w:val="es-CO"/>
        </w:rPr>
        <w:t xml:space="preserve">Huella Sana S.A.S. es un caso ficticio validado con el docente, sin entrevistas.</w:t>
      </w:r>
      <w:r>
        <w:rPr>
          <w:lang w:val="es-CO"/>
        </w:rPr>
        <w:t xml:space="preserve"> </w:t>
      </w:r>
      <w:r>
        <w:rPr>
          <w:lang w:val="es-CO"/>
        </w:rPr>
        <w:t xml:space="preserve">Poder: aprobar; influencia: decidir; interés: impacto. La escala es alta, media o baja; con</w:t>
      </w:r>
      <w:r>
        <w:rPr>
          <w:lang w:val="es-CO"/>
        </w:rPr>
        <w:t xml:space="preserve"> </w:t>
      </w:r>
      <w:r>
        <w:rPr>
          <w:lang w:val="es-CO"/>
        </w:rPr>
        <w:t xml:space="preserve">poder medio o bajo no se aprueba.</w:t>
      </w:r>
    </w:p>
    <w:p>
      <w:pPr>
        <w:pStyle w:val="Heading1"/>
      </w:pPr>
      <w:bookmarkStart w:id="20" w:name="_registro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</w:t>
      </w:r>
      <w:bookmarkEnd w:id="20"/>
    </w:p>
    <w:p>
      <w:pPr>
        <w:pStyle w:val="TableCaption"/>
      </w:pPr>
      <w:r>
        <w:rPr>
          <w:lang w:val="es-CO"/>
        </w:rPr>
        <w:t xml:space="preserve">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Nombre/rol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Interés/poder/influencia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docente/patrocinador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proyecto/DBA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Analista/modelador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web/infraestructura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recepción/facturación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Clientes/dueños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Bajo/Alto/Media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Diseño/implementación BD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entregables/fase, seis transversales, 55 ejercicios; video máximo 15 minutos,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Hitos/alcance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restricciones nombradas, scripts reproducibles, trazabilidad de horas/costos.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Reglas/cardinalidades coherentes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normalización/diccionario sincronizados con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Reproducibilidad/verificación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Ingresos/actividad por sede/servicio; integridad facturas-clientes-atención.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Agenda/personal/existencias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Director/sede, empleados asignados,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Antecedentes/prescripciones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única/mascota, consultas-citas, medicamentos con dosis/frecuencia.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Apoyo clínico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opcional/consulta;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Unicidad/consistencia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único; teléfonos múltiples; detalle exclusivo servicio/medicamento.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Coherencia intersede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Mascota-propietario, historia única; datos ficticios.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Calidad/evidencia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institucional/roles/aceptación registrada.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pruebas se hacen con SQL; se excluyen la captura y la autenticación de usuarios finales.</w:t>
      </w:r>
    </w:p>
    <w:p>
      <w:pPr>
        <w:pStyle w:val="Heading1"/>
      </w:pPr>
      <w:bookmarkStart w:id="21" w:name="_poderinterés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Poder/interés</w:t>
      </w:r>
      <w:bookmarkEnd w:id="21"/>
    </w:p>
    <w:p>
      <w:pPr>
        <w:pStyle w:val="TableCaption"/>
      </w:pPr>
      <w:r>
        <w:rPr>
          <w:lang w:val="es-CO"/>
        </w:rPr>
        <w:t xml:space="preserve">Clasificación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Poder/interés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ninguno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I01 aprueba académicamente; I05 no autoriza recursos universitarios.</w:t>
      </w:r>
    </w:p>
    <w:p>
      <w:pPr>
        <w:pStyle w:val="Heading1"/>
      </w:pPr>
      <w:bookmarkStart w:id="22" w:name="_particip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Participación</w:t>
      </w:r>
      <w:bookmarkEnd w:id="22"/>
    </w:p>
    <w:p>
      <w:pPr>
        <w:pStyle w:val="FirstParagraph"/>
      </w:pPr>
      <w:r>
        <w:rPr>
          <w:lang w:val="es-CO"/>
        </w:rPr>
        <w:t xml:space="preserve">Responsables: IDs del registro anterior.</w:t>
      </w:r>
    </w:p>
    <w:p>
      <w:pPr>
        <w:pStyle w:val="TableCaption"/>
      </w:pPr>
      <w:r>
        <w:rPr>
          <w:lang w:val="es-CO"/>
        </w:rPr>
        <w:t xml:space="preserve">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Estrategia/mecanismo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Frecuencia/control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paquetes; resolver observaciones; registrar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Semanal; aceptación semanas 8, 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avance/riesgos/horas/cambios; revisar restricciones/scripts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Semanal, semanas 1 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modelos/supuestos/diccionario en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 durante modelado; final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consultas/instalación/conexión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7 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indicadores/alcance simulados con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dirección/agenda/inventario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2, 5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historia clínica/prescripción con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3, 7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asistencia opcional/datos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unicidad/detalle de factura/consistencia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6, 8 y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propietario/mascota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productos/participación; solicitudes mediante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según solicitud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Gerente: reclasificar cambios de expectativas/poder. Observaciones: ID/EDT/resolución en Git.</w:t>
      </w:r>
      <w:r>
        <w:rPr>
          <w:lang w:val="es-CO"/>
        </w:rPr>
        <w:t xml:space="preserve"> </w:t>
      </w:r>
      <w:r>
        <w:rPr>
          <w:lang w:val="es-CO"/>
        </w:rPr>
        <w:t xml:space="preserve">Alcance/presupuesto/hitos: revisión docente previa.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