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EDT y diccionario de paquetes de trabajo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alcance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Alcance</w:t>
      </w:r>
      <w:bookmarkEnd w:id="19"/>
    </w:p>
    <w:p>
      <w:pPr>
        <w:pStyle w:val="FirstParagraph"/>
      </w:pPr>
      <w:r>
        <w:rPr>
          <w:lang w:val="es-CO"/>
        </w:rPr>
        <w:t xml:space="preserve">Se aplica la regla del 100 %: cada paquete de tercer nivel tiene un resultado único y un integrador. Los códigos son los del cronograma, y H1, H2 y H3 son hitos.</w:t>
      </w:r>
    </w:p>
    <w:p>
      <w:pPr>
        <w:pStyle w:val="CaptionedFigure"/>
      </w:pPr>
      <w:r>
        <w:drawing>
          <wp:inline>
            <wp:extent cx="5334000" cy="2444120"/>
            <wp:effectExtent b="0" l="0" r="0" t="0"/>
            <wp:docPr descr="EDT/WBS del proyecto SIGEVET" title="" id="21" name="Picture"/>
            <a:graphic>
              <a:graphicData uri="http://schemas.openxmlformats.org/drawingml/2006/picture">
                <pic:pic>
                  <pic:nvPicPr>
                    <pic:cNvPr descr="diagramas/png/edt_wb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EDT/WBS del proyecto SIGEVET</w:t>
      </w:r>
    </w:p>
    <w:p>
      <w:pPr>
        <w:pStyle w:val="Heading1"/>
      </w:pPr>
      <w:bookmarkStart w:id="23" w:name="_jerarquí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Jerarquía</w:t>
      </w:r>
      <w:bookmarkEnd w:id="23"/>
    </w:p>
    <w:p>
      <w:pPr>
        <w:pStyle w:val="TableCaption"/>
      </w:pPr>
      <w:r>
        <w:rPr>
          <w:lang w:val="es-CO"/>
        </w:rPr>
        <w:t xml:space="preserve">Niveles 1–2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Niveles 1–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Componente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 consolidado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BD/consulta web académica, Huella Sana.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Constitución, interesados, seguimiento de líneas base.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 Análisis y 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Propuesta, supuestos, modelos, normalización, diccionario, álgebra.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 Implementación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Plataforma, VM, RDBMS, scripts, aplicación, repositorio,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Sustentación, aceptación, balance, acta.</w:t>
            </w:r>
          </w:p>
        </w:tc>
      </w:tr>
    </w:tbl>
    <w:p>
      <w:pPr>
        <w:pStyle w:val="Heading1"/>
      </w:pPr>
      <w:bookmarkStart w:id="24" w:name="_diccionario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Diccionario</w:t>
      </w:r>
      <w:bookmarkEnd w:id="24"/>
    </w:p>
    <w:p>
      <w:pPr>
        <w:pStyle w:val="FirstParagraph"/>
      </w:pPr>
      <w:r>
        <w:rPr>
          <w:lang w:val="es-CO"/>
        </w:rPr>
        <w:t xml:space="preserve">Integradores: JD=Juan David Polo Herrera (Gerente/DBA); SC=Sebastián Castellanos Parra (Analista/modelador); JM=Juan Miguel Ramos (Desarrollador web/infraestructura). Revisión/sustentación de todo el equipo.</w:t>
      </w:r>
    </w:p>
    <w:p>
      <w:pPr>
        <w:pStyle w:val="Heading2"/>
      </w:pPr>
      <w:bookmarkStart w:id="25" w:name="_gestión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Gestión</w:t>
      </w:r>
      <w:bookmarkEnd w:id="25"/>
    </w:p>
    <w:p>
      <w:pPr>
        <w:pStyle w:val="TableCaption"/>
      </w:pPr>
      <w:r>
        <w:rPr>
          <w:lang w:val="es-CO"/>
        </w:rPr>
        <w:t xml:space="preserve">Gestión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Gest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Objetivos, alcance, riesgos, autorización académica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constitutiva.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Expectativas, poder, interés, participación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Registro/matriz/estrategia.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Integrar planes; revisar avance/cambios semanalmente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EDT/diccionario, cronograma Excel/Gantt, presupuesto Excel, decisiones.</w:t>
            </w:r>
          </w:p>
        </w:tc>
      </w:tr>
    </w:tbl>
    <w:p>
      <w:pPr>
        <w:pStyle w:val="Heading2"/>
      </w:pPr>
      <w:bookmarkStart w:id="26" w:name="_48f7f308d54695bf490f98fd85bdecbb5129e55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Fase 1</w:t>
      </w:r>
      <w:bookmarkEnd w:id="26"/>
    </w:p>
    <w:p>
      <w:pPr>
        <w:pStyle w:val="TableCaption"/>
      </w:pPr>
      <w:r>
        <w:rPr>
          <w:lang w:val="es-CO"/>
        </w:rPr>
        <w:t xml:space="preserve">Análisis/modelado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nálisis/model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Problema, requisitos, exclusiones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Reglas de negocio; condiciones simuladas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Entidades, atributos, relaciones, cardinalidades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Peter Chen.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 disjunta/parcial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lógico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Elaborar MER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Barker/Crow’s Foot (MySQL Workbench).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Transformar tablas, llaves,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Relacional Crow’s Foot (MySQL Workbench).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Dependencias/descomposición hasta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Sección del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tablas, columnas, dominios,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Resolver/ejecutar 55 ejercicios y SQL equivalente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Documento: 55 ejercicios verificados.</w:t>
            </w:r>
          </w:p>
        </w:tc>
      </w:tr>
    </w:tbl>
    <w:p>
      <w:pPr>
        <w:pStyle w:val="Heading2"/>
      </w:pPr>
      <w:bookmarkStart w:id="27" w:name="_8628fa4d0aa193299d2156ab5a422e19bd1508a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Fase 2</w:t>
      </w:r>
      <w:bookmarkEnd w:id="27"/>
    </w:p>
    <w:p>
      <w:pPr>
        <w:pStyle w:val="TableCaption"/>
      </w:pPr>
      <w:r>
        <w:rPr>
          <w:lang w:val="es-CO"/>
        </w:rPr>
        <w:t xml:space="preserve">Implementación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mplemen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Comparar/justificar Oracle Linux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Recursos, arranque, acceso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y reproducción.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Comparar/justificar MySQL 8.4 LTS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RDBMS.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mysqld</w:t>
            </w:r>
            <w:r>
              <w:rPr>
                <w:sz w:val="19"/>
                <w:lang w:val="es-CO"/>
              </w:rPr>
              <w:t xml:space="preserve">, 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, usuarios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Implementación/evidencia de conexión.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y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Objetos, datos ficticios, consultas, utilidades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DDL/DML/varios, README y orden de ejecución.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(Spring Boot, sin ORM), JDBC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conectada,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Aportes, estructura, documentación de reconstrucción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Git/GitHub: contribuciones del equipo.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Audio/cámara del equipo en demostración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 máximo 15 minutos.</w:t>
            </w:r>
          </w:p>
        </w:tc>
      </w:tr>
    </w:tbl>
    <w:p>
      <w:pPr>
        <w:pStyle w:val="Heading2"/>
      </w:pPr>
      <w:bookmarkStart w:id="28" w:name="_cierre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Cierre</w:t>
      </w:r>
      <w:bookmarkEnd w:id="28"/>
    </w:p>
    <w:p>
      <w:pPr>
        <w:pStyle w:val="TableCaption"/>
      </w:pPr>
      <w:r>
        <w:rPr>
          <w:lang w:val="es-CO"/>
        </w:rPr>
        <w:t xml:space="preserve">Cierre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ier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aceptación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Evidencias, sustentación, observaciones académicas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entregables/aceptación, acta.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 documental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Balance, desviaciones, lecciones, firmas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cierre.</w:t>
            </w:r>
          </w:p>
        </w:tc>
      </w:tr>
    </w:tbl>
    <w:p>
      <w:pPr>
        <w:pStyle w:val="Heading1"/>
      </w:pPr>
      <w:bookmarkStart w:id="29" w:name="_controlaceptación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Control/aceptación</w:t>
      </w:r>
      <w:bookmarkEnd w:id="29"/>
    </w:p>
    <w:p>
      <w:pPr>
        <w:pStyle w:val="FirstParagraph"/>
      </w:pPr>
      <w:r>
        <w:rPr>
          <w:lang w:val="es-CO"/>
        </w:rPr>
        <w:t xml:space="preserve">Entregable versionado/legible, revisado por responsable y compañero. Verificar modelos/reglas/DDL; álgebra: 55 resultados; plataforma: reproducción/conexión; video: duración/participación. Validación docente: Fase 1/Semana 8; Fase 2/Semana 13; cierre/Semana 14.</w:t>
      </w:r>
    </w:p>
    <w:p>
      <w:pPr>
        <w:pStyle w:val="BodyText"/>
      </w:pPr>
      <w:r>
        <w:rPr>
          <w:lang w:val="es-CO"/>
        </w:rPr>
        <w:t xml:space="preserve">1.1.3/1.3.7: coordinación/integración paralela sin duplicar horas. Cambios registrados por código; evaluar alcance/dependencias/presupuesto antes de aprobar.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0" Type="http://schemas.openxmlformats.org/officeDocument/2006/relationships/image" Target="media/rId2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EDT y diccionario de paquetes de trabajo — SIGEVET</dc:title>
  <dc:creator>Sebastián Castellanos Parra, Juan David Polo Herrera, Juan Miguel Ramos</dc:creator>
  <dc:language>es-CO</dc:language>
  <cp:keywords/>
  <dcterms:created xsi:type="dcterms:W3CDTF">2026-10-26T22:49:09Z</dcterms:created>
  <dcterms:modified xsi:type="dcterms:W3CDTF">2026-10-26T22:49:09Z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EDT y diccionario de paquetes de trabajo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