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Barker y Crow’s Foot en Draw.io: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22 tablas y 30 llaves foráneas</w:t>
      </w:r>
      <w:r>
        <w:rPr>
          <w:lang w:val="es-CO"/>
        </w:rPr>
        <w:t xml:space="preserve">, sin tipos SQL (incluidos en documento 6). Workbench: respaldo.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redondeada con nombre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obligatoria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opcional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junto 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mitad indica la obligatoriedad de la entidad contigua: CIUDAD debe pertenecer a un DEPARTAMENTO; este puede tener ciudades.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22" name="Picture"/>
            <a:graphic>
              <a:graphicData uri="http://schemas.openxmlformats.org/drawingml/2006/picture">
                <pic:pic>
                  <pic:nvPicPr>
                    <pic:cNvPr descr="diagramas/png/15_Barker_Glob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2"/>
      </w:pPr>
      <w:bookmarkStart w:id="24" w:name="_observaciones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</w:t>
      </w:r>
      <w:bookmarkEnd w:id="24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Subtipos:</w:t>
      </w:r>
      <w:r>
        <w:rPr>
          <w:lang w:val="es-CO"/>
        </w:rPr>
        <w:t xml:space="preserve"> </w:t>
      </w:r>
      <w:r>
        <w:rPr>
          <w:lang w:val="es-CO"/>
        </w:rPr>
        <w:t xml:space="preserve">opción 8A; ATENDER, CERTIFICAR y ASISTIR apuntan al subtipo correspondiente.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Identificadoras: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e intersecciones heredan UID (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1:1: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GENERAR, sin patas.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lang w:val="es-CO"/>
        </w:rPr>
        <w:t xml:space="preserve">LABORAR (1:N) y DIRIGIR (1:1).</w:t>
      </w:r>
    </w:p>
    <w:p>
      <w:pPr>
        <w:pStyle w:val="Heading1"/>
      </w:pPr>
      <w:bookmarkStart w:id="25" w:name="_08e03a0242717f1a86fdbec2025590c3d5d46a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Crow’s Foot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Símbolo cercano: máximo; lejano: mínimo. CLIENTE tiene dos barras; MASCOTA,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: toda mascota tiene dueño; CLIENTE puede tener cero mascotas.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27" name="Picture"/>
            <a:graphic>
              <a:graphicData uri="http://schemas.openxmlformats.org/drawingml/2006/picture">
                <pic:pic>
                  <pic:nvPicPr>
                    <pic:cNvPr descr="diagramas/png/19_CrowsFoot_Glob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PK/FK y UQn indican llaves y grupos UNIQUE. Las líneas identificadoras son continuas; las demás, discontinuas. El DDL admite padres sin hijos y UNIQUE limita el máximo a uno; los mínimos conceptuales requieren reglas adicionales.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438591ba5da3530aed1953a025f9e1d2f4556c0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Archivos editables</w:t>
      </w:r>
      <w:bookmarkEnd w:id="30"/>
    </w:p>
    <w:p>
      <w:pPr>
        <w:pStyle w:val="FirstParagraph"/>
      </w:pPr>
      <w:r>
        <w:rPr>
          <w:lang w:val="es-CO"/>
        </w:rPr>
        <w:t xml:space="preserve">Distribución por áreas desde nulabilidad, PK, UNIQUE y FK del DDL. Barker expresa las FK mediante 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Entrega: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, PNG y PDF.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