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spacing w:after="360"/>
        <w:jc w:val="center"/>
      </w:pPr>
      <w:r>
        <w:drawing>
          <wp:inline>
            <wp:extent cx="2160000" cy="100192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unbosque.png"/>
                    <pic:cNvPicPr/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10019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rPr>
          <w:b/>
          <w:color w:val="C86A00"/>
          <w:sz w:val="32"/>
        </w:rPr>
        <w:t>UNIVERSIDAD EL BOSQUE</w:t>
      </w:r>
    </w:p>
    <w:p>
      <w:pPr>
        <w:spacing w:after="120"/>
        <w:jc w:val="center"/>
      </w:pPr>
      <w:r>
        <w:rPr>
          <w:b w:val="0"/>
          <w:color w:val="333333"/>
          <w:sz w:val="22"/>
        </w:rPr>
        <w:t>Facultad de Ingeniería — Programa de Ingeniería de Sistemas</w:t>
      </w:r>
    </w:p>
    <w:p>
      <w:pPr>
        <w:spacing w:after="1200"/>
        <w:jc w:val="center"/>
      </w:pPr>
      <w:r>
        <w:rPr>
          <w:b w:val="0"/>
          <w:color w:val="333333"/>
          <w:sz w:val="22"/>
        </w:rPr>
        <w:t>Bases de Datos 1 (12998) — Periodo 2026-2</w:t>
      </w:r>
    </w:p>
    <w:p>
      <w:pPr>
        <w:spacing w:after="200"/>
        <w:jc w:val="center"/>
      </w:pPr>
      <w:r>
        <w:rPr>
          <w:b/>
          <w:color w:val="C86A00"/>
          <w:sz w:val="44"/>
        </w:rPr>
        <w:t>Acta de constitución del proyecto</w:t>
      </w:r>
    </w:p>
    <w:p>
      <w:pPr>
        <w:spacing w:after="120"/>
        <w:jc w:val="center"/>
      </w:pPr>
      <w:r>
        <w:rPr>
          <w:b/>
          <w:color w:val="333333"/>
          <w:sz w:val="28"/>
        </w:rPr>
        <w:t>SIGEVET — Sistema Integral de Gestión Veterinaria</w:t>
      </w:r>
    </w:p>
    <w:p>
      <w:pPr>
        <w:spacing w:after="120"/>
        <w:jc w:val="center"/>
      </w:pPr>
      <w:r>
        <w:rPr>
          <w:b w:val="0"/>
          <w:color w:val="333333"/>
          <w:sz w:val="22"/>
        </w:rPr>
        <w:t>Red de Clínicas Veterinarias Huella Sana S.A.S. (caso simulado)</w:t>
      </w:r>
    </w:p>
    <w:p>
      <w:pPr>
        <w:spacing w:after="1200"/>
        <w:jc w:val="center"/>
      </w:pPr>
      <w:r>
        <w:rPr>
          <w:b w:val="0"/>
          <w:color w:val="333333"/>
          <w:sz w:val="22"/>
        </w:rPr>
        <w:t>Proyecto Final · Transversal · Versión 1.0</w:t>
      </w:r>
    </w:p>
    <w:p>
      <w:pPr>
        <w:spacing w:after="40"/>
        <w:jc w:val="center"/>
      </w:pPr>
      <w:r>
        <w:rPr>
          <w:b/>
          <w:color w:val="333333"/>
          <w:sz w:val="24"/>
        </w:rPr>
        <w:t>Integrantes</w:t>
      </w:r>
    </w:p>
    <w:p>
      <w:pPr>
        <w:spacing w:after="40"/>
        <w:jc w:val="center"/>
      </w:pPr>
      <w:r>
        <w:rPr>
          <w:b w:val="0"/>
          <w:color w:val="333333"/>
          <w:sz w:val="24"/>
        </w:rPr>
        <w:t>Sebastián Castellanos Parra — 1031811214</w:t>
      </w:r>
    </w:p>
    <w:p>
      <w:pPr>
        <w:spacing w:after="40"/>
        <w:jc w:val="center"/>
      </w:pPr>
      <w:r>
        <w:rPr>
          <w:b w:val="0"/>
          <w:color w:val="333333"/>
          <w:sz w:val="24"/>
        </w:rPr>
        <w:t>Juan David Polo Herrera — 1117506677</w:t>
      </w:r>
    </w:p>
    <w:p>
      <w:pPr>
        <w:spacing w:after="40"/>
        <w:jc w:val="center"/>
      </w:pPr>
      <w:r>
        <w:rPr>
          <w:b w:val="0"/>
          <w:color w:val="333333"/>
          <w:sz w:val="24"/>
        </w:rPr>
        <w:t>Juan Miguel Ramos — 1025528586</w:t>
      </w:r>
    </w:p>
    <w:p>
      <w:pPr>
        <w:spacing w:after="480"/>
        <w:jc w:val="center"/>
      </w:pPr>
    </w:p>
    <w:p>
      <w:pPr>
        <w:spacing w:after="40"/>
        <w:jc w:val="center"/>
      </w:pPr>
      <w:r>
        <w:rPr>
          <w:b/>
          <w:color w:val="333333"/>
          <w:sz w:val="24"/>
        </w:rPr>
        <w:t>Docente</w:t>
      </w:r>
    </w:p>
    <w:p>
      <w:pPr>
        <w:spacing w:after="960"/>
        <w:jc w:val="center"/>
      </w:pPr>
      <w:r>
        <w:rPr>
          <w:b w:val="0"/>
          <w:color w:val="333333"/>
          <w:sz w:val="24"/>
        </w:rPr>
        <w:t>Ing., Esp., M.Ed. Christian Felipe Duarte Arévalo</w:t>
      </w:r>
    </w:p>
    <w:p>
      <w:pPr>
        <w:spacing w:after="120"/>
        <w:jc w:val="center"/>
      </w:pPr>
      <w:r>
        <w:rPr>
          <w:b w:val="0"/>
          <w:color w:val="333333"/>
          <w:sz w:val="24"/>
        </w:rPr>
        <w:t>Bogotá D.C.</w:t>
      </w:r>
      <w:r>
        <w:br w:type="page"/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rPr>
              <w:lang w:val="es-CO"/>
            </w:rPr>
            <w:t xml:space="preserve">Tabla de contenido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r>
        <w:br w:type="page"/>
      </w:r>
    </w:p>
    <w:p>
      <w:pPr>
        <w:pStyle w:val="Heading1"/>
      </w:pPr>
      <w:bookmarkStart w:id="19" w:name="_55085ed7f53ac4cefa9067792b4403f494bc18c"/>
      <w:r>
        <w:rPr>
          <w:rStyle w:val="SectionNumber"/>
          <w:lang w:val="es-CO"/>
        </w:rPr>
        <w:t xml:space="preserve">1</w:t>
      </w:r>
      <w:r>
        <w:tab/>
      </w:r>
      <w:r>
        <w:rPr>
          <w:lang w:val="es-CO"/>
        </w:rPr>
        <w:t xml:space="preserve">Autorización y justificación</w:t>
      </w:r>
      <w:bookmarkEnd w:id="19"/>
    </w:p>
    <w:p>
      <w:pPr>
        <w:pStyle w:val="FirstParagraph"/>
      </w:pPr>
      <w:r>
        <w:rPr>
          <w:lang w:val="es-CO"/>
        </w:rPr>
        <w:t xml:space="preserve">Se constituye SIGEVET, Sistema Integral de Gestión Veterinaria, como proyecto académico de Bases de Datos 1 de la Universidad El Bosque. Su propósito es integrar la información de las cinco sedes de la organización ficticia Huella Sana S.A.S.: Usaquén, Chapinero, Chía, Laureles y San Fernando.</w:t>
      </w:r>
    </w:p>
    <w:p>
      <w:pPr>
        <w:pStyle w:val="BodyText"/>
      </w:pPr>
      <w:r>
        <w:rPr>
          <w:lang w:val="es-CO"/>
        </w:rPr>
        <w:t xml:space="preserve">Las agendas aisladas, las historias clínicas físicas y la facturación sin integración producen duplicidad de clientes, cruces de citas y consultas incompletas entre sedes. Se autoriza construir una base relacional centralizada y una aplicación web de consulta para demostrar integridad y trazabilidad clínica, operativa y comercial.</w:t>
      </w:r>
    </w:p>
    <w:p>
      <w:pPr>
        <w:pStyle w:val="Heading1"/>
      </w:pPr>
      <w:bookmarkStart w:id="20" w:name="_4113d6c817fe1b48f394c0081e980c3f2741787"/>
      <w:r>
        <w:rPr>
          <w:rStyle w:val="SectionNumber"/>
          <w:lang w:val="es-CO"/>
        </w:rPr>
        <w:t xml:space="preserve">2</w:t>
      </w:r>
      <w:r>
        <w:tab/>
      </w:r>
      <w:r>
        <w:rPr>
          <w:lang w:val="es-CO"/>
        </w:rPr>
        <w:t xml:space="preserve">Objetivos y criterios de éxito</w:t>
      </w:r>
      <w:bookmarkEnd w:id="20"/>
    </w:p>
    <w:p>
      <w:pPr>
        <w:pStyle w:val="Heading2"/>
      </w:pPr>
      <w:bookmarkStart w:id="21" w:name="_c64fb550c3e89cc8e7ce1cbb90cf5a950e7566d"/>
      <w:r>
        <w:rPr>
          <w:rStyle w:val="SectionNumber"/>
          <w:lang w:val="es-CO"/>
        </w:rPr>
        <w:t xml:space="preserve">2.1</w:t>
      </w:r>
      <w:r>
        <w:tab/>
      </w:r>
      <w:r>
        <w:rPr>
          <w:lang w:val="es-CO"/>
        </w:rPr>
        <w:t xml:space="preserve">Objetivo general</w:t>
      </w:r>
      <w:bookmarkEnd w:id="21"/>
    </w:p>
    <w:p>
      <w:pPr>
        <w:pStyle w:val="FirstParagraph"/>
      </w:pPr>
      <w:r>
        <w:rPr>
          <w:lang w:val="es-CO"/>
        </w:rPr>
        <w:t xml:space="preserve">Diseñar e implementar SIGEVET en Oracle sobre una máquina virtual Oracle Linux, desde el modelo conceptual hasta la consulta web, para integrar la información de Huella Sana.</w:t>
      </w:r>
    </w:p>
    <w:p>
      <w:pPr>
        <w:pStyle w:val="Heading2"/>
      </w:pPr>
      <w:bookmarkStart w:id="22" w:name="_cb37acc1d3c00bf5df0b06a4f27c7103121ff3b"/>
      <w:r>
        <w:rPr>
          <w:rStyle w:val="SectionNumber"/>
          <w:lang w:val="es-CO"/>
        </w:rPr>
        <w:t xml:space="preserve">2.2</w:t>
      </w:r>
      <w:r>
        <w:tab/>
      </w:r>
      <w:r>
        <w:rPr>
          <w:lang w:val="es-CO"/>
        </w:rPr>
        <w:t xml:space="preserve">Objetivos específicos</w:t>
      </w:r>
      <w:bookmarkEnd w:id="22"/>
    </w:p>
    <w:p>
      <w:pPr>
        <w:pStyle w:val="Compact"/>
        <w:numPr>
          <w:ilvl w:val="0"/>
          <w:numId w:val="1001"/>
        </w:numPr>
      </w:pPr>
      <w:r>
        <w:rPr>
          <w:lang w:val="es-CO"/>
        </w:rPr>
        <w:t xml:space="preserve">Documentar requerimientos, supuestos y reglas de negocio de las cinco sedes.</w:t>
      </w:r>
    </w:p>
    <w:p>
      <w:pPr>
        <w:pStyle w:val="Compact"/>
        <w:numPr>
          <w:ilvl w:val="0"/>
          <w:numId w:val="1001"/>
        </w:numPr>
      </w:pPr>
      <w:r>
        <w:rPr>
          <w:lang w:val="es-CO"/>
        </w:rPr>
        <w:t xml:space="preserve">Elaborar MER Chen, MER Extendido y modelos lógico y relacional en Oracle SQL Developer Data Modeler.</w:t>
      </w:r>
    </w:p>
    <w:p>
      <w:pPr>
        <w:pStyle w:val="Compact"/>
        <w:numPr>
          <w:ilvl w:val="0"/>
          <w:numId w:val="1001"/>
        </w:numPr>
      </w:pPr>
      <w:r>
        <w:rPr>
          <w:lang w:val="es-CO"/>
        </w:rPr>
        <w:t xml:space="preserve">Normalizar las 22 tablas del esquema a tercera forma normal y documentar tipos, dominios y restricciones.</w:t>
      </w:r>
    </w:p>
    <w:p>
      <w:pPr>
        <w:pStyle w:val="Compact"/>
        <w:numPr>
          <w:ilvl w:val="0"/>
          <w:numId w:val="1001"/>
        </w:numPr>
      </w:pPr>
      <w:r>
        <w:rPr>
          <w:lang w:val="es-CO"/>
        </w:rPr>
        <w:t xml:space="preserve">Verificar 55 ejercicios de álgebra relacional mediante sus consultas equivalentes y datos de prueba.</w:t>
      </w:r>
    </w:p>
    <w:p>
      <w:pPr>
        <w:pStyle w:val="Compact"/>
        <w:numPr>
          <w:ilvl w:val="0"/>
          <w:numId w:val="1001"/>
        </w:numPr>
      </w:pPr>
      <w:r>
        <w:rPr>
          <w:lang w:val="es-CO"/>
        </w:rPr>
        <w:t xml:space="preserve">Implementar VM, RDBMS y scripts reproducibles, y conectar Flask con el usuario de consulta</w:t>
      </w:r>
      <w:r>
        <w:rPr>
          <w:lang w:val="es-CO"/>
        </w:rPr>
        <w:t xml:space="preserve"> </w:t>
      </w:r>
      <w:r>
        <w:rPr>
          <w:rStyle w:val="VerbatimChar"/>
          <w:lang w:val="es-CO"/>
        </w:rPr>
        <w:t xml:space="preserve">VET_APP</w:t>
      </w:r>
      <w:r>
        <w:rPr>
          <w:lang w:val="es-CO"/>
        </w:rP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lang w:val="es-CO"/>
        </w:rPr>
        <w:t xml:space="preserve">Mantener aportes verificables en Git/GitHub y presentar una demostración de máximo 15 minutos con audio y cámara de todos los integrantes.</w:t>
      </w:r>
    </w:p>
    <w:p>
      <w:pPr>
        <w:pStyle w:val="FirstParagraph"/>
      </w:pPr>
      <w:r>
        <w:rPr>
          <w:lang w:val="es-CO"/>
        </w:rPr>
        <w:t xml:space="preserve">Se considera satisfactorio el proyecto cuando el docente valida los entregables oficiales, los scripts reconstruyen el esquema</w:t>
      </w:r>
      <w:r>
        <w:rPr>
          <w:lang w:val="es-CO"/>
        </w:rPr>
        <w:t xml:space="preserve"> </w:t>
      </w:r>
      <w:r>
        <w:rPr>
          <w:rStyle w:val="VerbatimChar"/>
          <w:lang w:val="es-CO"/>
        </w:rPr>
        <w:t xml:space="preserve">VETDB</w:t>
      </w:r>
      <w:r>
        <w:rPr>
          <w:lang w:val="es-CO"/>
        </w:rPr>
        <w:t xml:space="preserve">, las consultas producen los resultados esperados y la aplicación acredita acceso de solo lectura. La validación de Fase 1 se ubica en Semana 8, la de Fase 2 en Semana 13 y el cierre en Semana 14.</w:t>
      </w:r>
    </w:p>
    <w:p>
      <w:pPr>
        <w:pStyle w:val="Heading1"/>
      </w:pPr>
      <w:bookmarkStart w:id="23" w:name="_ec7ad293da536eafda195fa3827b90667ba02ae"/>
      <w:r>
        <w:rPr>
          <w:rStyle w:val="SectionNumber"/>
          <w:lang w:val="es-CO"/>
        </w:rPr>
        <w:t xml:space="preserve">3</w:t>
      </w:r>
      <w:r>
        <w:tab/>
      </w:r>
      <w:r>
        <w:rPr>
          <w:lang w:val="es-CO"/>
        </w:rPr>
        <w:t xml:space="preserve">Alcance autorizado</w:t>
      </w:r>
      <w:bookmarkEnd w:id="23"/>
    </w:p>
    <w:p>
      <w:pPr>
        <w:pStyle w:val="Heading2"/>
      </w:pPr>
      <w:bookmarkStart w:id="24" w:name="_incluye"/>
      <w:r>
        <w:rPr>
          <w:rStyle w:val="SectionNumber"/>
          <w:lang w:val="es-CO"/>
        </w:rPr>
        <w:t xml:space="preserve">3.1</w:t>
      </w:r>
      <w:r>
        <w:tab/>
      </w:r>
      <w:r>
        <w:rPr>
          <w:lang w:val="es-CO"/>
        </w:rPr>
        <w:t xml:space="preserve">Incluye</w:t>
      </w:r>
      <w:bookmarkEnd w:id="24"/>
    </w:p>
    <w:p>
      <w:pPr>
        <w:pStyle w:val="FirstParagraph"/>
      </w:pPr>
      <w:r>
        <w:rPr>
          <w:lang w:val="es-CO"/>
        </w:rPr>
        <w:t xml:space="preserve">Estructura geográfica y sedes con director; empleados, veterinarios, auxiliares y especialidades; clientes con teléfonos; mascotas, razas y especies; historia clínica única por mascota; citas y consultas; prescripciones; inventario por sede y stock mínimo; facturas y sus detalles. Incluye modelado, normalización, implementación, datos ficticios y consultas web de demostración. Las operaciones de registro se demuestran mediante SQL; la aplicación web permite únicamente lectura.</w:t>
      </w:r>
    </w:p>
    <w:p>
      <w:pPr>
        <w:pStyle w:val="Heading2"/>
      </w:pPr>
      <w:bookmarkStart w:id="25" w:name="_5090ea5fa095a9e39e31543e3badf9d7947365f"/>
      <w:r>
        <w:rPr>
          <w:rStyle w:val="SectionNumber"/>
          <w:lang w:val="es-CO"/>
        </w:rPr>
        <w:t xml:space="preserve">3.2</w:t>
      </w:r>
      <w:r>
        <w:tab/>
      </w:r>
      <w:r>
        <w:rPr>
          <w:lang w:val="es-CO"/>
        </w:rPr>
        <w:t xml:space="preserve">No incluye</w:t>
      </w:r>
      <w:bookmarkEnd w:id="25"/>
    </w:p>
    <w:p>
      <w:pPr>
        <w:pStyle w:val="FirstParagraph"/>
      </w:pPr>
      <w:r>
        <w:rPr>
          <w:lang w:val="es-CO"/>
        </w:rPr>
        <w:t xml:space="preserve">Facturación electrónica ante la DIAN, nómina, contabilidad, pagos en línea, compras a proveedores, lotes o vencimientos de medicamentos, autenticación de usuarios finales, aplicación móvil, alta disponibilidad ni réplicas. No se compromete una puesta en producción en clínicas reales.</w:t>
      </w:r>
    </w:p>
    <w:p>
      <w:pPr>
        <w:pStyle w:val="Heading1"/>
      </w:pPr>
      <w:bookmarkStart w:id="26" w:name="_9414921b14caf6c114b1f981cf2b035f3e7c2a6"/>
      <w:r>
        <w:rPr>
          <w:rStyle w:val="SectionNumber"/>
          <w:lang w:val="es-CO"/>
        </w:rPr>
        <w:t xml:space="preserve">4</w:t>
      </w:r>
      <w:r>
        <w:tab/>
      </w:r>
      <w:r>
        <w:rPr>
          <w:lang w:val="es-CO"/>
        </w:rPr>
        <w:t xml:space="preserve">Entregables por fase</w:t>
      </w:r>
      <w:bookmarkEnd w:id="26"/>
    </w:p>
    <w:p>
      <w:pPr>
        <w:pStyle w:val="TableCaption"/>
      </w:pPr>
      <w:r>
        <w:rPr>
          <w:lang w:val="es-CO"/>
        </w:rPr>
        <w:t xml:space="preserve">Productos sujetos a aceptación académica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Productos sujetos a aceptación académica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fill="FBE5CC"/>
          </w:tcPr>
          <w:p>
            <w:pPr>
              <w:pStyle w:val="Compact"/>
            </w:pPr>
            <w:r>
              <w:rPr>
                <w:b/>
                <w:sz w:val="19"/>
                <w:lang w:val="es-CO"/>
              </w:rPr>
              <w:t xml:space="preserve">Fase</w:t>
            </w:r>
          </w:p>
        </w:tc>
        <w:tc>
          <w:tcPr>
            <w:shd w:val="clear" w:fill="FBE5CC"/>
          </w:tcPr>
          <w:p>
            <w:pPr>
              <w:pStyle w:val="Compact"/>
            </w:pPr>
            <w:r>
              <w:rPr>
                <w:b/>
                <w:sz w:val="19"/>
                <w:lang w:val="es-CO"/>
              </w:rPr>
              <w:t xml:space="preserve">Entregables oficiales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Fase 1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Propuesta del proyecto; Documento de supuestos; MER notación Peter Chen; MER Extendido; MER Barker / Crow’s Foot (Data Modeler); Modelo relacional Crow’s Foot (Data Modeler); Diccionario de datos; Documento de álgebra relacional (55 ejercicios).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Fase 2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Análisis de selección de SO; Implementación de la VM; Análisis de selección de RDBMS; Implementación del RDBMS; Scripts de creación de objetos, inserción de registros y varios con README; Conexión de la aplicación web; Repositorio Git; Video de demostración de máximo 15 minutos, con todos los integrantes con audio y cámara.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Transversal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Acta de constitución; Identificación de interesados; EDT/WBS; Cronograma; Presupuesto; Acta de cierre.</w:t>
            </w:r>
          </w:p>
        </w:tc>
      </w:tr>
    </w:tbl>
    <w:p>
      <w:pPr>
        <w:pStyle w:val="FirstParagraph"/>
      </w:pPr>
      <w:r>
        <w:rPr>
          <w:lang w:val="es-CO"/>
        </w:rPr>
        <w:t xml:space="preserve">La normalización forma parte del modelo relacional y tiene paquete propio en la EDT; no sustituye ningún entregable oficial.</w:t>
      </w:r>
    </w:p>
    <w:p>
      <w:pPr>
        <w:pStyle w:val="Heading1"/>
      </w:pPr>
      <w:bookmarkStart w:id="27" w:name="_10ff8d6f2282a4d379fff7019cda0bb7c6d2136"/>
      <w:r>
        <w:rPr>
          <w:rStyle w:val="SectionNumber"/>
          <w:lang w:val="es-CO"/>
        </w:rPr>
        <w:t xml:space="preserve">5</w:t>
      </w:r>
      <w:r>
        <w:tab/>
      </w:r>
      <w:r>
        <w:rPr>
          <w:lang w:val="es-CO"/>
        </w:rPr>
        <w:t xml:space="preserve">Hitos de control</w:t>
      </w:r>
      <w:bookmarkEnd w:id="27"/>
    </w:p>
    <w:p>
      <w:pPr>
        <w:pStyle w:val="TableCaption"/>
      </w:pPr>
      <w:r>
        <w:rPr>
          <w:lang w:val="es-CO"/>
        </w:rPr>
        <w:t xml:space="preserve">Secuencia de hitos autorizada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Secuencia de hitos autorizada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fill="FBE5CC"/>
          </w:tcPr>
          <w:p>
            <w:pPr>
              <w:pStyle w:val="Compact"/>
            </w:pPr>
            <w:r>
              <w:rPr>
                <w:b/>
                <w:sz w:val="19"/>
                <w:lang w:val="es-CO"/>
              </w:rPr>
              <w:t xml:space="preserve">Orden</w:t>
            </w:r>
          </w:p>
        </w:tc>
        <w:tc>
          <w:tcPr>
            <w:shd w:val="clear" w:fill="FBE5CC"/>
          </w:tcPr>
          <w:p>
            <w:pPr>
              <w:pStyle w:val="Compact"/>
            </w:pPr>
            <w:r>
              <w:rPr>
                <w:b/>
                <w:sz w:val="19"/>
                <w:lang w:val="es-CO"/>
              </w:rPr>
              <w:t xml:space="preserve">Hito</w:t>
            </w:r>
          </w:p>
        </w:tc>
        <w:tc>
          <w:tcPr>
            <w:shd w:val="clear" w:fill="FBE5CC"/>
          </w:tcPr>
          <w:p>
            <w:pPr>
              <w:pStyle w:val="Compact"/>
            </w:pPr>
            <w:r>
              <w:rPr>
                <w:b/>
                <w:sz w:val="19"/>
                <w:lang w:val="es-CO"/>
              </w:rPr>
              <w:t xml:space="preserve">Referencia temporal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Inicio y constitución del proyecto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Semana 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Envío de la propuesta y la Fase 1 para validación del docente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Semana 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Entrega de la Fase 2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Semana 13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Sustentación, aceptación y cierre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Semana 14</w:t>
            </w:r>
          </w:p>
        </w:tc>
      </w:tr>
    </w:tbl>
    <w:p>
      <w:pPr>
        <w:pStyle w:val="Heading1"/>
      </w:pPr>
      <w:bookmarkStart w:id="28" w:name="_0caac6ff0415741a1a77f0aacb66dd6b598261a"/>
      <w:r>
        <w:rPr>
          <w:rStyle w:val="SectionNumber"/>
          <w:lang w:val="es-CO"/>
        </w:rPr>
        <w:t xml:space="preserve">6</w:t>
      </w:r>
      <w:r>
        <w:tab/>
      </w:r>
      <w:r>
        <w:rPr>
          <w:lang w:val="es-CO"/>
        </w:rPr>
        <w:t xml:space="preserve">Supuestos y restricciones</w:t>
      </w:r>
      <w:bookmarkEnd w:id="28"/>
    </w:p>
    <w:p>
      <w:pPr>
        <w:pStyle w:val="FirstParagraph"/>
      </w:pPr>
      <w:r>
        <w:rPr>
          <w:lang w:val="es-CO"/>
        </w:rPr>
        <w:t xml:space="preserve">Se supone disponibilidad de los tres integrantes y de sus portátiles, acceso a Internet y retroalimentación del docente en las revisiones. Los actores de Huella Sana son perfiles simulados; el equipo valida reglas del caso con el docente, sin atribuir entrevistas a una empresa real.</w:t>
      </w:r>
    </w:p>
    <w:p>
      <w:pPr>
        <w:pStyle w:val="BodyText"/>
      </w:pPr>
      <w:r>
        <w:rPr>
          <w:lang w:val="es-CO"/>
        </w:rPr>
        <w:t xml:space="preserve">El horizonte es de 14 semanas y 385 horas de esfuerzo distribuido, sin dedicación exclusiva. Se utilizarán Oracle Linux 9, Oracle AI Database 26ai Free, VirtualBox (con simulación previa en Lima) y Python/Flask; se respetan las limitaciones de la edición Free y la VM de 6 GB prevista en la propuesta. Los datos serán ficticios y el esquema de consulta tendrá privilegios mínimos. El medio de virtualización se adecúa al equipo anfitrión sin cambiar el alcance funcional.</w:t>
      </w:r>
    </w:p>
    <w:p>
      <w:pPr>
        <w:pStyle w:val="Heading1"/>
      </w:pPr>
      <w:bookmarkStart w:id="29" w:name="_4a723c2c1a0d42708c69df282f5800ac7e5fd19"/>
      <w:r>
        <w:rPr>
          <w:rStyle w:val="SectionNumber"/>
          <w:lang w:val="es-CO"/>
        </w:rPr>
        <w:t xml:space="preserve">7</w:t>
      </w:r>
      <w:r>
        <w:tab/>
      </w:r>
      <w:r>
        <w:rPr>
          <w:lang w:val="es-CO"/>
        </w:rPr>
        <w:t xml:space="preserve">Riesgos de alto nivel</w:t>
      </w:r>
      <w:bookmarkEnd w:id="29"/>
    </w:p>
    <w:p>
      <w:pPr>
        <w:pStyle w:val="TableCaption"/>
      </w:pPr>
      <w:r>
        <w:rPr>
          <w:lang w:val="es-CO"/>
        </w:rPr>
        <w:t xml:space="preserve">Riesgos y respuestas iniciales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Riesgos y respuestas iniciales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fill="FBE5CC"/>
          </w:tcPr>
          <w:p>
            <w:pPr>
              <w:pStyle w:val="Compact"/>
            </w:pPr>
            <w:r>
              <w:rPr>
                <w:b/>
                <w:sz w:val="19"/>
                <w:lang w:val="es-CO"/>
              </w:rPr>
              <w:t xml:space="preserve">Riesgo</w:t>
            </w:r>
          </w:p>
        </w:tc>
        <w:tc>
          <w:tcPr>
            <w:shd w:val="clear" w:fill="FBE5CC"/>
          </w:tcPr>
          <w:p>
            <w:pPr>
              <w:pStyle w:val="Compact"/>
            </w:pPr>
            <w:r>
              <w:rPr>
                <w:b/>
                <w:sz w:val="19"/>
                <w:lang w:val="es-CO"/>
              </w:rPr>
              <w:t xml:space="preserve">Probabilidad / impacto</w:t>
            </w:r>
          </w:p>
        </w:tc>
        <w:tc>
          <w:tcPr>
            <w:shd w:val="clear" w:fill="FBE5CC"/>
          </w:tcPr>
          <w:p>
            <w:pPr>
              <w:pStyle w:val="Compact"/>
            </w:pPr>
            <w:r>
              <w:rPr>
                <w:b/>
                <w:sz w:val="19"/>
                <w:lang w:val="es-CO"/>
              </w:rPr>
              <w:t xml:space="preserve">Respuesta y responsable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Recursos insuficientes o incompatibilidad de virtualización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Media / Alto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Validar arquitectura, memoria y arranque antes de instalar Oracle; Juan Miguel Ramos.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Cambios tardíos de alcance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Media / Medio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Registrar solicitud, estimar horas e impacto y obtener validación del docente; Juan David Polo Herrera.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Cardinalidades o restricciones incorrectas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Baja / Alto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Revisar modelos, normalización y resultados de 55 consultas; Sebastián Castellanos Parra.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Aportes desiguales al repositorio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Media / Medio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Asignar paquetes, revisar avances semanalmente y verificar contribuciones; Juan David Polo Herrera.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Divergencia entre DDL, diccionario y diagramas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Media / Alto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Regenerar desde la especificación común y revisar diferencias; Juan David Polo Herrera.</w:t>
            </w:r>
          </w:p>
        </w:tc>
      </w:tr>
    </w:tbl>
    <w:p>
      <w:pPr>
        <w:pStyle w:val="Heading1"/>
      </w:pPr>
      <w:bookmarkStart w:id="30" w:name="_001469f6a8da11139ae647a1c000523b716b6c4"/>
      <w:r>
        <w:rPr>
          <w:rStyle w:val="SectionNumber"/>
          <w:lang w:val="es-CO"/>
        </w:rPr>
        <w:t xml:space="preserve">8</w:t>
      </w:r>
      <w:r>
        <w:tab/>
      </w:r>
      <w:r>
        <w:rPr>
          <w:lang w:val="es-CO"/>
        </w:rPr>
        <w:t xml:space="preserve">Presupuesto resumido</w:t>
      </w:r>
      <w:bookmarkEnd w:id="30"/>
    </w:p>
    <w:p>
      <w:pPr>
        <w:pStyle w:val="TableCaption"/>
      </w:pPr>
      <w:r>
        <w:rPr>
          <w:lang w:val="es-CO"/>
        </w:rPr>
        <w:t xml:space="preserve">Línea base económica del proyecto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Línea base económica del proyecto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fill="FBE5CC"/>
          </w:tcPr>
          <w:p>
            <w:pPr>
              <w:pStyle w:val="Compact"/>
            </w:pPr>
            <w:r>
              <w:rPr>
                <w:b/>
                <w:sz w:val="19"/>
                <w:lang w:val="es-CO"/>
              </w:rPr>
              <w:t xml:space="preserve">Rubro</w:t>
            </w:r>
          </w:p>
        </w:tc>
        <w:tc>
          <w:tcPr>
            <w:shd w:val="clear" w:fill="FBE5CC"/>
          </w:tcPr>
          <w:p>
            <w:pPr>
              <w:pStyle w:val="Compact"/>
              <w:jc w:val="right"/>
            </w:pPr>
            <w:r>
              <w:rPr>
                <w:b/>
                <w:sz w:val="19"/>
                <w:lang w:val="es-CO"/>
              </w:rPr>
              <w:t xml:space="preserve">Valor COP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Talento humano, 385 horas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9"/>
                <w:lang w:val="es-CO"/>
              </w:rPr>
              <w:t xml:space="preserve">9.121.000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Depreciación de tres portátiles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9"/>
                <w:lang w:val="es-CO"/>
              </w:rPr>
              <w:t xml:space="preserve">840.000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Software de uso gratuito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9"/>
                <w:lang w:val="es-CO"/>
              </w:rP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Internet y energía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9"/>
                <w:lang w:val="es-CO"/>
              </w:rPr>
              <w:t xml:space="preserve">588.000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Costo directo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9"/>
                <w:lang w:val="es-CO"/>
              </w:rPr>
              <w:t xml:space="preserve">10.549.000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Imprevistos, 10 % del costo directo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9"/>
                <w:lang w:val="es-CO"/>
              </w:rPr>
              <w:t xml:space="preserve">1.054.900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Total autorizado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9"/>
                <w:lang w:val="es-CO"/>
              </w:rPr>
              <w:t xml:space="preserve">11.603.900</w:t>
            </w:r>
          </w:p>
        </w:tc>
      </w:tr>
    </w:tbl>
    <w:p>
      <w:pPr>
        <w:pStyle w:val="FirstParagraph"/>
      </w:pPr>
      <w:r>
        <w:rPr>
          <w:lang w:val="es-CO"/>
        </w:rPr>
        <w:t xml:space="preserve">El presupuesto total es</w:t>
      </w:r>
      <w:r>
        <w:rPr>
          <w:lang w:val="es-CO"/>
        </w:rPr>
        <w:t xml:space="preserve"> </w:t>
      </w:r>
      <w:r>
        <w:rPr>
          <w:b/>
          <w:bCs/>
          <w:lang w:val="es-CO"/>
        </w:rPr>
        <w:t xml:space="preserve">11.603.900 COP</w:t>
      </w:r>
      <w:r>
        <w:rPr>
          <w:lang w:val="es-CO"/>
        </w:rPr>
        <w:t xml:space="preserve"> </w:t>
      </w:r>
      <w:r>
        <w:rPr>
          <w:lang w:val="es-CO"/>
        </w:rPr>
        <w:t xml:space="preserve">y coincide con el presupuesto detallado y el Excel. Valora aportes académicos. El gerente registra el uso de reserva y solicita validación del docente si altera el alcance.</w:t>
      </w:r>
    </w:p>
    <w:p>
      <w:pPr>
        <w:pStyle w:val="Heading1"/>
      </w:pPr>
      <w:bookmarkStart w:id="31" w:name="_7a114399b315ac6d8a6de0d42c7f2e3bb7181d2"/>
      <w:r>
        <w:rPr>
          <w:rStyle w:val="SectionNumber"/>
          <w:lang w:val="es-CO"/>
        </w:rPr>
        <w:t xml:space="preserve">9</w:t>
      </w:r>
      <w:r>
        <w:tab/>
      </w:r>
      <w:r>
        <w:rPr>
          <w:lang w:val="es-CO"/>
        </w:rPr>
        <w:t xml:space="preserve">Dirección y responsabilidades</w:t>
      </w:r>
      <w:bookmarkEnd w:id="31"/>
    </w:p>
    <w:p>
      <w:pPr>
        <w:pStyle w:val="TableCaption"/>
      </w:pPr>
      <w:r>
        <w:rPr>
          <w:lang w:val="es-CO"/>
        </w:rPr>
        <w:t xml:space="preserve">Equipo autorizado y patrocinio académico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Equipo autorizado y patrocinio académico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fill="FBE5CC"/>
          </w:tcPr>
          <w:p>
            <w:pPr>
              <w:pStyle w:val="Compact"/>
            </w:pPr>
            <w:r>
              <w:rPr>
                <w:b/>
                <w:sz w:val="19"/>
                <w:lang w:val="es-CO"/>
              </w:rPr>
              <w:t xml:space="preserve">Nombre e identificación</w:t>
            </w:r>
          </w:p>
        </w:tc>
        <w:tc>
          <w:tcPr>
            <w:shd w:val="clear" w:fill="FBE5CC"/>
          </w:tcPr>
          <w:p>
            <w:pPr>
              <w:pStyle w:val="Compact"/>
            </w:pPr>
            <w:r>
              <w:rPr>
                <w:b/>
                <w:sz w:val="19"/>
                <w:lang w:val="es-CO"/>
              </w:rPr>
              <w:t xml:space="preserve">Rol</w:t>
            </w:r>
          </w:p>
        </w:tc>
        <w:tc>
          <w:tcPr>
            <w:shd w:val="clear" w:fill="FBE5CC"/>
          </w:tcPr>
          <w:p>
            <w:pPr>
              <w:pStyle w:val="Compact"/>
            </w:pPr>
            <w:r>
              <w:rPr>
                <w:b/>
                <w:sz w:val="19"/>
                <w:lang w:val="es-CO"/>
              </w:rPr>
              <w:t xml:space="preserve">Responsabilidad y autoridad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Juan David Polo Herrera (1117506677)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Gerente del proyecto y DBA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Coordinar líneas base, modelo relacional, normalización, scripts y Git.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Sebastián Castellanos Parra (1031811214)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Analista y modelador de datos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Requerimientos, interesados, supuestos, Chen/EER, modelo lógico y diccionario; verificar trazabilidad.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Juan Miguel Ramos (1025528586)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Desarrollador web e infraestructura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Álgebra relacional y SQL, análisis de SO, VM, aplicación web y coordinación del video.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Ing., Esp., M.Ed. Christian Felipe Duarte Arévalo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Docente / patrocinador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Orientar, validar alcance y criterios de aceptación, evaluar fases y autorizar cierre académico; sin financiación monetaria asumida.</w:t>
            </w:r>
          </w:p>
        </w:tc>
      </w:tr>
    </w:tbl>
    <w:p>
      <w:pPr>
        <w:pStyle w:val="Heading1"/>
      </w:pPr>
      <w:bookmarkStart w:id="32" w:name="_aprobación"/>
      <w:r>
        <w:rPr>
          <w:rStyle w:val="SectionNumber"/>
          <w:lang w:val="es-CO"/>
        </w:rPr>
        <w:t xml:space="preserve">10</w:t>
      </w:r>
      <w:r>
        <w:tab/>
      </w:r>
      <w:r>
        <w:rPr>
          <w:lang w:val="es-CO"/>
        </w:rPr>
        <w:t xml:space="preserve">Aprobación</w:t>
      </w:r>
      <w:bookmarkEnd w:id="32"/>
    </w:p>
    <w:p>
      <w:pPr>
        <w:pStyle w:val="FirstParagraph"/>
      </w:pPr>
      <w:r>
        <w:rPr>
          <w:lang w:val="es-CO"/>
        </w:rPr>
        <w:t xml:space="preserve">La firma formaliza la aceptación del alcance y de las líneas base. Los espacios se dejan para sus titulares.</w:t>
      </w:r>
    </w:p>
    <w:p>
      <w:pPr>
        <w:pStyle w:val="TableCaption"/>
      </w:pPr>
      <w:r>
        <w:rPr>
          <w:lang w:val="es-CO"/>
        </w:rPr>
        <w:t xml:space="preserve">Aprobación del acta de constitución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Aprobación del acta de constitución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val="clear" w:fill="FBE5CC"/>
          </w:tcPr>
          <w:p>
            <w:pPr>
              <w:pStyle w:val="Compact"/>
            </w:pPr>
            <w:r>
              <w:rPr>
                <w:b/>
                <w:sz w:val="19"/>
                <w:lang w:val="es-CO"/>
              </w:rPr>
              <w:t xml:space="preserve">Nombre</w:t>
            </w:r>
          </w:p>
        </w:tc>
        <w:tc>
          <w:tcPr>
            <w:shd w:val="clear" w:fill="FBE5CC"/>
          </w:tcPr>
          <w:p>
            <w:pPr>
              <w:pStyle w:val="Compact"/>
            </w:pPr>
            <w:r>
              <w:rPr>
                <w:b/>
                <w:sz w:val="19"/>
                <w:lang w:val="es-CO"/>
              </w:rPr>
              <w:t xml:space="preserve">Documento</w:t>
            </w:r>
          </w:p>
        </w:tc>
        <w:tc>
          <w:tcPr>
            <w:shd w:val="clear" w:fill="FBE5CC"/>
          </w:tcPr>
          <w:p>
            <w:pPr>
              <w:pStyle w:val="Compact"/>
            </w:pPr>
            <w:r>
              <w:rPr>
                <w:b/>
                <w:sz w:val="19"/>
                <w:lang w:val="es-CO"/>
              </w:rPr>
              <w:t xml:space="preserve">Rol</w:t>
            </w:r>
          </w:p>
        </w:tc>
        <w:tc>
          <w:tcPr>
            <w:shd w:val="clear" w:fill="FBE5CC"/>
          </w:tcPr>
          <w:p>
            <w:pPr>
              <w:pStyle w:val="Compact"/>
            </w:pPr>
            <w:r>
              <w:rPr>
                <w:b/>
                <w:sz w:val="19"/>
                <w:lang w:val="es-CO"/>
              </w:rPr>
              <w:t xml:space="preserve">Firma</w:t>
            </w:r>
          </w:p>
        </w:tc>
      </w:tr>
      <w:tr>
        <w:trPr>
          <w:trHeight w:val="907"/>
        </w:trP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Juan David Polo Herrera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C.C. 1117506677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Gerente del proyecto y DBA</w:t>
            </w:r>
          </w:p>
        </w:tc>
        <w:tc>
          <w:tcPr/>
          <w:p>
            <w:pPr>
              <w:pStyle w:val="Compact"/>
            </w:pPr>
          </w:p>
        </w:tc>
      </w:tr>
      <w:tr>
        <w:trPr>
          <w:trHeight w:val="907"/>
        </w:trP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Sebastián Castellanos Parra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C.C. 1031811214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Analista y modelador de datos</w:t>
            </w:r>
          </w:p>
        </w:tc>
        <w:tc>
          <w:tcPr/>
          <w:p>
            <w:pPr>
              <w:pStyle w:val="Compact"/>
            </w:pPr>
          </w:p>
        </w:tc>
      </w:tr>
      <w:tr>
        <w:trPr>
          <w:trHeight w:val="907"/>
        </w:trP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Juan Miguel Ramos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C.C. 1025528586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Desarrollador web e infraestructura</w:t>
            </w:r>
          </w:p>
        </w:tc>
        <w:tc>
          <w:tcPr/>
          <w:p>
            <w:pPr>
              <w:pStyle w:val="Compact"/>
            </w:pPr>
          </w:p>
        </w:tc>
      </w:tr>
      <w:tr>
        <w:trPr>
          <w:trHeight w:val="907"/>
        </w:trP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Ing., Esp., M.Ed. Christian Felipe Duarte Arévalo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Docente / patrocinador</w:t>
            </w:r>
          </w:p>
        </w:tc>
        <w:tc>
          <w:tcPr/>
          <w:p>
            <w:pPr>
              <w:pStyle w:val="Compact"/>
            </w:pPr>
          </w:p>
        </w:tc>
      </w:tr>
    </w:tbl>
    <w:sectPr>
      <w:headerReference w:type="default" r:id="rId9"/>
      <w:footerReference w:type="default" r:id="rId10"/>
      <w:footnotePr>
        <w:numRestart w:val="eachSect"/>
      </w:footnotePr>
      <w:pgMar w:top="1417" w:bottom="1417" w:left="1417" w:right="1417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 xml:space="preserve">Página </w:t>
    </w:r>
    <w:r>
      <w:rPr>
        <w:sz w:val="16"/>
      </w:rPr>
      <w:fldChar w:fldCharType="begin"/>
      <w:instrText xml:space="preserve"> PAGE </w:instrText>
      <w:fldChar w:fldCharType="separate"/>
      <w:t>1</w: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333333"/>
        <w:sz w:val="16"/>
      </w:rPr>
      <w:t>Universidad El Bosque · Bases de Datos 1 · Proyecto Final SIGEVET</w:t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updateFields w:val="true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s-CO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rPr>
      <w:rFonts w:ascii="Calibri" w:hAnsi="Calibri"/>
      <w:color w:val="333333"/>
      <w:sz w:val="22"/>
    </w:rPr>
  </w:style>
  <w:style w:type="paragraph" w:styleId="BodyText">
    <w:name w:val="Body Text"/>
    <w:basedOn w:val="Normal"/>
    <w:link w:val="BodyTextChar"/>
    <w:qFormat/>
    <w:pPr>
      <w:spacing w:before="180" w:after="180"/>
    </w:pPr>
    <w:rPr>
      <w:rFonts w:ascii="Calibri" w:hAnsi="Calibri"/>
      <w:color w:val="333333"/>
      <w:sz w:val="22"/>
    </w:rPr>
  </w:style>
  <w:style w:type="paragraph" w:customStyle="1" w:styleId="FirstParagraph">
    <w:name w:val="First Paragraph"/>
    <w:basedOn w:val="BodyText"/>
    <w:next w:val="BodyText"/>
    <w:qFormat/>
    <w:rPr>
      <w:rFonts w:ascii="Calibri" w:hAnsi="Calibri"/>
      <w:color w:val="333333"/>
      <w:sz w:val="22"/>
    </w:rPr>
  </w:style>
  <w:style w:type="paragraph" w:customStyle="1" w:styleId="Compact">
    <w:name w:val="Compact"/>
    <w:basedOn w:val="BodyText"/>
    <w:qFormat/>
    <w:pPr>
      <w:spacing w:before="36" w:after="36"/>
    </w:pPr>
    <w:rPr>
      <w:rFonts w:ascii="Calibri" w:hAnsi="Calibri"/>
      <w:color w:val="333333"/>
      <w:sz w:val="22"/>
    </w:r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 w:ascii="Calibri" w:hAnsi="Calibri"/>
      <w:b/>
      <w:color w:val="C86A00"/>
      <w:sz w:val="48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 w:ascii="Calibri" w:hAnsi="Calibri"/>
      <w:color w:val="333333"/>
      <w:spacing w:val="15"/>
      <w:sz w:val="30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 w:ascii="Calibri" w:hAnsi="Calibri"/>
      <w:b/>
      <w:color w:val="C86A00"/>
      <w:sz w:val="32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Calibri" w:hAnsi="Calibri"/>
      <w:b/>
      <w:color w:val="C86A00"/>
      <w:sz w:val="26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 w:ascii="Calibri" w:hAnsi="Calibri"/>
      <w:b/>
      <w:color w:val="C86A00"/>
      <w:sz w:val="24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 w:ascii="Calibri" w:hAnsi="Calibri"/>
      <w:b/>
      <w:i/>
      <w:iCs/>
      <w:color w:val="C86A00"/>
      <w:sz w:val="22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rFonts w:ascii="Calibri" w:hAnsi="Calibri"/>
      <w:i/>
      <w:color w:val="333333"/>
      <w:sz w:val="18"/>
    </w:rPr>
  </w:style>
  <w:style w:type="paragraph" w:customStyle="1" w:styleId="TableCaption">
    <w:name w:val="Table Caption"/>
    <w:basedOn w:val="Caption"/>
    <w:pPr>
      <w:keepNext/>
    </w:pPr>
    <w:rPr>
      <w:rFonts w:ascii="Calibri" w:hAnsi="Calibri"/>
      <w:color w:val="333333"/>
      <w:sz w:val="18"/>
    </w:rPr>
  </w:style>
  <w:style w:type="paragraph" w:customStyle="1" w:styleId="ImageCaption">
    <w:name w:val="Image Caption"/>
    <w:basedOn w:val="Caption"/>
    <w:rPr>
      <w:rFonts w:ascii="Calibri" w:hAnsi="Calibri"/>
      <w:color w:val="333333"/>
      <w:sz w:val="18"/>
    </w:rPr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 w:ascii="Calibri" w:hAnsi="Calibri"/>
      <w:b/>
      <w:bCs w:val="0"/>
      <w:color w:val="C86A00"/>
      <w:sz w:val="32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8" Type="http://schemas.openxmlformats.org/officeDocument/2006/relationships/numbering" Target="numbering.xml"/><Relationship Id="rId17" Type="http://schemas.openxmlformats.org/officeDocument/2006/relationships/styles" Target="styles.xml"/><Relationship Id="rId16" Type="http://schemas.openxmlformats.org/officeDocument/2006/relationships/settings" Target="settings.xml"/><Relationship Id="rId15" Type="http://schemas.openxmlformats.org/officeDocument/2006/relationships/webSettings" Target="webSettings.xml"/><Relationship Id="rId14" Type="http://schemas.openxmlformats.org/officeDocument/2006/relationships/fontTable" Target="fontTable.xml"/><Relationship Id="rId13" Type="http://schemas.openxmlformats.org/officeDocument/2006/relationships/theme" Target="theme/theme1.xml"/><Relationship Id="rId12" Type="http://schemas.openxmlformats.org/officeDocument/2006/relationships/footnotes" Target="footnotes.xml"/><Relationship Id="rId11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Acta de constitución del proyecto — SIGEVET</dc:title>
  <dc:creator>Sebastián Castellanos Parra, Juan David Polo Herrera, Juan Miguel Ramos</dc:creator>
  <dc:language>es-CO</dc:language>
  <cp:keywords/>
  <dcterms:created xsi:type="dcterms:W3CDTF">2026-10-20T19:30:13Z</dcterms:created>
  <dcterms:modified xsi:type="dcterms:W3CDTF">2026-10-20T19:30:13Z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fase">
    <vt:lpwstr>Transversal</vt:lpwstr>
  </property>
  <property fmtid="{D5CDD505-2E9C-101B-9397-08002B2CF9AE}" pid="3" name="subtitle">
    <vt:lpwstr>Acta de constitución del proyecto</vt:lpwstr>
  </property>
  <property fmtid="{D5CDD505-2E9C-101B-9397-08002B2CF9AE}" pid="4" name="toc-title">
    <vt:lpwstr>Tabla de contenido</vt:lpwstr>
  </property>
  <property fmtid="{D5CDD505-2E9C-101B-9397-08002B2CF9AE}" pid="5" name="version">
    <vt:lpwstr>1.0</vt:lpwstr>
  </property>
</Properties>
</file>