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360"/>
        <w:jc w:val="center"/>
      </w:pPr>
      <w:r>
        <w:drawing>
          <wp:inline>
            <wp:extent cx="2160000" cy="1001928"/>
            <wp:docPr id="1" name="Picture 1"/>
            <wp:cNvGraphicFramePr>
              <a:graphicFrameLocks noChangeAspect="1"/>
            </wp:cNvGraphicFramePr>
            <a:graphic>
              <a:graphicData uri="http://schemas.openxmlformats.org/drawingml/2006/picture">
                <pic:pic>
                  <pic:nvPicPr>
                    <pic:cNvPr id="0" name="logo_unbosque.png"/>
                    <pic:cNvPicPr/>
                  </pic:nvPicPr>
                  <pic:blipFill>
                    <a:blip r:embed="rId1"/>
                    <a:stretch>
                      <a:fillRect/>
                    </a:stretch>
                  </pic:blipFill>
                  <pic:spPr>
                    <a:xfrm>
                      <a:off x="0" y="0"/>
                      <a:ext cx="2160000" cy="1001928"/>
                    </a:xfrm>
                    <a:prstGeom prst="rect"/>
                  </pic:spPr>
                </pic:pic>
              </a:graphicData>
            </a:graphic>
          </wp:inline>
        </w:drawing>
      </w:r>
    </w:p>
    <w:p>
      <w:pPr>
        <w:spacing w:after="40"/>
        <w:jc w:val="center"/>
      </w:pPr>
      <w:r>
        <w:rPr>
          <w:b/>
          <w:color w:val="C86A00"/>
          <w:sz w:val="32"/>
        </w:rPr>
        <w:t>UNIVERSIDAD EL BOSQUE</w:t>
      </w:r>
    </w:p>
    <w:p>
      <w:pPr>
        <w:spacing w:after="120"/>
        <w:jc w:val="center"/>
      </w:pPr>
      <w:r>
        <w:rPr>
          <w:b w:val="0"/>
          <w:color w:val="333333"/>
          <w:sz w:val="22"/>
        </w:rPr>
        <w:t>Facultad de Ingeniería — Programa de Ingeniería de Sistemas</w:t>
      </w:r>
    </w:p>
    <w:p>
      <w:pPr>
        <w:spacing w:after="1200"/>
        <w:jc w:val="center"/>
      </w:pPr>
      <w:r>
        <w:rPr>
          <w:b w:val="0"/>
          <w:color w:val="333333"/>
          <w:sz w:val="22"/>
        </w:rPr>
        <w:t>Bases de Datos 1 (12998) — Periodo 2026-2</w:t>
      </w:r>
    </w:p>
    <w:p>
      <w:pPr>
        <w:spacing w:after="200"/>
        <w:jc w:val="center"/>
      </w:pPr>
      <w:r>
        <w:rPr>
          <w:b/>
          <w:color w:val="C86A00"/>
          <w:sz w:val="44"/>
        </w:rPr>
        <w:t>Documento de Análisis de selección de RDBMS</w:t>
      </w:r>
    </w:p>
    <w:p>
      <w:pPr>
        <w:spacing w:after="120"/>
        <w:jc w:val="center"/>
      </w:pPr>
      <w:r>
        <w:rPr>
          <w:b/>
          <w:color w:val="333333"/>
          <w:sz w:val="28"/>
        </w:rPr>
        <w:t>SIGEVET — Sistema Integral de Gestión Veterinaria</w:t>
      </w:r>
    </w:p>
    <w:p>
      <w:pPr>
        <w:spacing w:after="120"/>
        <w:jc w:val="center"/>
      </w:pPr>
      <w:r>
        <w:rPr>
          <w:b w:val="0"/>
          <w:color w:val="333333"/>
          <w:sz w:val="22"/>
        </w:rPr>
        <w:t>Red de Clínicas Veterinarias Huella Sana S.A.S. (caso simulado)</w:t>
      </w:r>
    </w:p>
    <w:p>
      <w:pPr>
        <w:spacing w:after="1200"/>
        <w:jc w:val="center"/>
      </w:pPr>
      <w:r>
        <w:rPr>
          <w:b w:val="0"/>
          <w:color w:val="333333"/>
          <w:sz w:val="22"/>
        </w:rPr>
        <w:t>Proyecto Final · Fase 2 · Versión 1.0</w:t>
      </w:r>
    </w:p>
    <w:p>
      <w:pPr>
        <w:spacing w:after="40"/>
        <w:jc w:val="center"/>
      </w:pPr>
      <w:r>
        <w:rPr>
          <w:b/>
          <w:color w:val="333333"/>
          <w:sz w:val="24"/>
        </w:rPr>
        <w:t>Integrantes</w:t>
      </w:r>
    </w:p>
    <w:p>
      <w:pPr>
        <w:spacing w:after="40"/>
        <w:jc w:val="center"/>
      </w:pPr>
      <w:r>
        <w:rPr>
          <w:b w:val="0"/>
          <w:color w:val="333333"/>
          <w:sz w:val="24"/>
        </w:rPr>
        <w:t>Sebastián Castellanos Parra — 1031811214</w:t>
      </w:r>
    </w:p>
    <w:p>
      <w:pPr>
        <w:spacing w:after="40"/>
        <w:jc w:val="center"/>
      </w:pPr>
      <w:r>
        <w:rPr>
          <w:b w:val="0"/>
          <w:color w:val="333333"/>
          <w:sz w:val="24"/>
        </w:rPr>
        <w:t>Juan David Polo Herrera — 1117506677</w:t>
      </w:r>
    </w:p>
    <w:p>
      <w:pPr>
        <w:spacing w:after="40"/>
        <w:jc w:val="center"/>
      </w:pPr>
      <w:r>
        <w:rPr>
          <w:b w:val="0"/>
          <w:color w:val="333333"/>
          <w:sz w:val="24"/>
        </w:rPr>
        <w:t>Juan Miguel Ramos — 1025528586</w:t>
      </w:r>
    </w:p>
    <w:p>
      <w:pPr>
        <w:spacing w:after="480"/>
        <w:jc w:val="center"/>
      </w:pPr>
    </w:p>
    <w:p>
      <w:pPr>
        <w:spacing w:after="40"/>
        <w:jc w:val="center"/>
      </w:pPr>
      <w:r>
        <w:rPr>
          <w:b/>
          <w:color w:val="333333"/>
          <w:sz w:val="24"/>
        </w:rPr>
        <w:t>Docente</w:t>
      </w:r>
    </w:p>
    <w:p>
      <w:pPr>
        <w:spacing w:after="960"/>
        <w:jc w:val="center"/>
      </w:pPr>
      <w:r>
        <w:rPr>
          <w:b w:val="0"/>
          <w:color w:val="333333"/>
          <w:sz w:val="24"/>
        </w:rPr>
        <w:t>Ing., Esp., M.Ed. Christian Felipe Duarte Arévalo</w:t>
      </w:r>
    </w:p>
    <w:p>
      <w:pPr>
        <w:spacing w:after="120"/>
        <w:jc w:val="center"/>
      </w:pPr>
      <w:r>
        <w:rPr>
          <w:b w:val="0"/>
          <w:color w:val="333333"/>
          <w:sz w:val="24"/>
        </w:rPr>
        <w:t>Bogotá D.C.</w:t>
      </w:r>
      <w:r>
        <w:br w:type="page"/>
      </w:r>
    </w:p>
    <w:sdt>
      <w:sdtPr>
        <w:docPartObj>
          <w:docPartGallery w:val="Table of Contents"/>
          <w:docPartUnique/>
        </w:docPartObj>
      </w:sdtPr>
      <w:sdtContent>
        <w:p>
          <w:pPr>
            <w:pStyle w:val="TOCHeading"/>
          </w:pPr>
          <w:r>
            <w:rPr>
              <w:lang w:val="es-CO"/>
            </w:rPr>
            <w:t xml:space="preserve">Tabla de contenido</w:t>
          </w:r>
        </w:p>
        <w:p>
          <w:r>
            <w:fldChar w:fldCharType="begin" w:dirty="true"/>
            <w:instrText xml:space="preserve">TOC \o "1-2" \h \z \u</w:instrText>
            <w:fldChar w:fldCharType="separate"/>
            <w:fldChar w:fldCharType="end"/>
          </w:r>
        </w:p>
      </w:sdtContent>
    </w:sdt>
    <w:p>
      <w:r>
        <w:br w:type="page"/>
      </w:r>
    </w:p>
    <w:p>
      <w:pPr>
        <w:pStyle w:val="Heading1"/>
      </w:pPr>
      <w:bookmarkStart w:id="19" w:name="_47b0b0c2fb0a64550751876f479b357c9d90ee1"/>
      <w:r>
        <w:rPr>
          <w:rStyle w:val="SectionNumber"/>
          <w:lang w:val="es-CO"/>
        </w:rPr>
        <w:t xml:space="preserve">1</w:t>
      </w:r>
      <w:r>
        <w:tab/>
      </w:r>
      <w:r>
        <w:rPr>
          <w:lang w:val="es-CO"/>
        </w:rPr>
        <w:t xml:space="preserve">Introducción y objetivo</w:t>
      </w:r>
      <w:bookmarkEnd w:id="19"/>
    </w:p>
    <w:p>
      <w:pPr>
        <w:pStyle w:val="FirstParagraph"/>
      </w:pPr>
      <w:r>
        <w:rPr>
          <w:lang w:val="es-CO"/>
        </w:rPr>
        <w:t xml:space="preserve">Se selecciona</w:t>
      </w:r>
      <w:r>
        <w:rPr>
          <w:lang w:val="es-CO"/>
        </w:rPr>
        <w:t xml:space="preserve"> </w:t>
      </w:r>
      <w:r>
        <w:rPr>
          <w:b/>
          <w:bCs/>
          <w:lang w:val="es-CO"/>
        </w:rPr>
        <w:t xml:space="preserve">MySQL 8.4 LTS Community Edition</w:t>
      </w:r>
      <w:r>
        <w:rPr>
          <w:lang w:val="es-CO"/>
        </w:rPr>
        <w:t xml:space="preserve"> </w:t>
      </w:r>
      <w:r>
        <w:rPr>
          <w:lang w:val="es-CO"/>
        </w:rPr>
        <w:t xml:space="preserve">para la base de datos de SIGEVET, proyecto de Bases de Datos 1 de la Universidad El Bosque. La decisión considera las funciones del modelo, la instalación en Oracle Linux 9, el uso de MySQL Workbench desde el anfitrión y la conexión de la aplicación Java. Primero se probó Oracle Database Free; esa versión quedó como respaldo y MySQL es el motor de la implementación principal.</w:t>
      </w:r>
    </w:p>
    <w:p>
      <w:pPr>
        <w:pStyle w:val="BodyText"/>
      </w:pPr>
      <w:r>
        <w:rPr>
          <w:lang w:val="es-CO"/>
        </w:rPr>
        <w:t xml:space="preserve">SIGEVET centraliza la información de Huella Sana S.A.S., organización ficticia con cinco clínicas. El modelo tiene 22 tablas para sedes, empleados, clientes, mascotas, citas, historias clínicas, medicamentos, inventario y facturación. La aplicación usa Servlets y JSP en Tomcat y consulta los datos con una cuenta de solo lectura. Los scripts del equipo crean el esquema y cargan los datos sintéticos.</w:t>
      </w:r>
    </w:p>
    <w:p>
      <w:pPr>
        <w:pStyle w:val="Heading1"/>
      </w:pPr>
      <w:bookmarkStart w:id="20" w:name="_b2e4e5c2658930437c392c20d87325d0789a235"/>
      <w:r>
        <w:rPr>
          <w:rStyle w:val="SectionNumber"/>
          <w:lang w:val="es-CO"/>
        </w:rPr>
        <w:t xml:space="preserve">2</w:t>
      </w:r>
      <w:r>
        <w:tab/>
      </w:r>
      <w:r>
        <w:rPr>
          <w:lang w:val="es-CO"/>
        </w:rPr>
        <w:t xml:space="preserve">Requisitos y restricciones</w:t>
      </w:r>
      <w:bookmarkEnd w:id="20"/>
    </w:p>
    <w:p>
      <w:pPr>
        <w:pStyle w:val="Heading2"/>
      </w:pPr>
      <w:bookmarkStart w:id="21" w:name="_6266a7b65fa6aa9177428ec46048971fb1f04b4"/>
      <w:r>
        <w:rPr>
          <w:rStyle w:val="SectionNumber"/>
          <w:lang w:val="es-CO"/>
        </w:rPr>
        <w:t xml:space="preserve">2.1</w:t>
      </w:r>
      <w:r>
        <w:tab/>
      </w:r>
      <w:r>
        <w:rPr>
          <w:lang w:val="es-CO"/>
        </w:rPr>
        <w:t xml:space="preserve">Alcance académico y relacional</w:t>
      </w:r>
      <w:bookmarkEnd w:id="21"/>
    </w:p>
    <w:p>
      <w:pPr>
        <w:pStyle w:val="FirstParagraph"/>
      </w:pPr>
      <w:r>
        <w:rPr>
          <w:lang w:val="es-CO"/>
        </w:rPr>
        <w:t xml:space="preserve">El enunciado exige un RDBMS, prohíbe SQL Server y acepta «Data Modeler o Workbench» para el modelado. Se necesitan claves primarias y foráneas, unicidad, obligatoriedad, restricciones de dominio, transacciones y consultas de álgebra relacional. También se requieren vistas, funciones, procedimientos y disparadores para las reglas de negocio. La evaluación compara MySQL, PostgreSQL, Oracle Database Free y MariaDB; ninguna alternativa se presenta como plenamente conforme con todo el estándar SQL.</w:t>
      </w:r>
    </w:p>
    <w:p>
      <w:pPr>
        <w:pStyle w:val="BodyText"/>
      </w:pPr>
      <w:r>
        <w:rPr>
          <w:lang w:val="es-CO"/>
        </w:rPr>
        <w:t xml:space="preserve">La base se llama</w:t>
      </w:r>
      <w:r>
        <w:rPr>
          <w:lang w:val="es-CO"/>
        </w:rPr>
        <w:t xml:space="preserve"> </w:t>
      </w:r>
      <w:r>
        <w:rPr>
          <w:rStyle w:val="VerbatimChar"/>
          <w:lang w:val="es-CO"/>
        </w:rPr>
        <w:t xml:space="preserve">sigevet</w:t>
      </w:r>
      <w:r>
        <w:rPr>
          <w:lang w:val="es-CO"/>
        </w:rPr>
        <w:t xml:space="preserve">. El usuario</w:t>
      </w:r>
      <w:r>
        <w:rPr>
          <w:lang w:val="es-CO"/>
        </w:rPr>
        <w:t xml:space="preserve"> </w:t>
      </w:r>
      <w:r>
        <w:rPr>
          <w:rStyle w:val="VerbatimChar"/>
          <w:lang w:val="es-CO"/>
        </w:rPr>
        <w:t xml:space="preserve">vetdb</w:t>
      </w:r>
      <w:r>
        <w:rPr>
          <w:lang w:val="es-CO"/>
        </w:rPr>
        <w:t xml:space="preserve"> </w:t>
      </w:r>
      <w:r>
        <w:rPr>
          <w:lang w:val="es-CO"/>
        </w:rPr>
        <w:t xml:space="preserve">administra sus objetos y</w:t>
      </w:r>
      <w:r>
        <w:rPr>
          <w:lang w:val="es-CO"/>
        </w:rPr>
        <w:t xml:space="preserve"> </w:t>
      </w:r>
      <w:r>
        <w:rPr>
          <w:rStyle w:val="VerbatimChar"/>
          <w:lang w:val="es-CO"/>
        </w:rPr>
        <w:t xml:space="preserve">vet_app</w:t>
      </w:r>
      <w:r>
        <w:rPr>
          <w:lang w:val="es-CO"/>
        </w:rPr>
        <w:t xml:space="preserve"> </w:t>
      </w:r>
      <w:r>
        <w:rPr>
          <w:lang w:val="es-CO"/>
        </w:rPr>
        <w:t xml:space="preserve">consulta mediante el rol</w:t>
      </w:r>
      <w:r>
        <w:rPr>
          <w:lang w:val="es-CO"/>
        </w:rPr>
        <w:t xml:space="preserve"> </w:t>
      </w:r>
      <w:r>
        <w:rPr>
          <w:rStyle w:val="VerbatimChar"/>
          <w:lang w:val="es-CO"/>
        </w:rPr>
        <w:t xml:space="preserve">rol_sigevet_lectura</w:t>
      </w:r>
      <w:r>
        <w:rPr>
          <w:lang w:val="es-CO"/>
        </w:rPr>
        <w:t xml:space="preserve">. MySQL Workbench Community permite modelar diagramas EER en notación Crow’s Foot, administrar la base y ejecutar consultas desde el anfitrión. La aplicación Java se conecta mediante el controlador JDBC oficial</w:t>
      </w:r>
      <w:r>
        <w:rPr>
          <w:lang w:val="es-CO"/>
        </w:rPr>
        <w:t xml:space="preserve"> </w:t>
      </w:r>
      <w:r>
        <w:rPr>
          <w:b/>
          <w:bCs/>
          <w:lang w:val="es-CO"/>
        </w:rPr>
        <w:t xml:space="preserve">MySQL Connector/J</w:t>
      </w:r>
      <w:r>
        <w:rPr>
          <w:lang w:val="es-CO"/>
        </w:rPr>
        <w:t xml:space="preserve">, con consultas parametrizadas y sin usar la cuenta dueña del esquema. [1, 2, 3]</w:t>
      </w:r>
    </w:p>
    <w:p>
      <w:pPr>
        <w:pStyle w:val="Heading2"/>
      </w:pPr>
      <w:bookmarkStart w:id="22" w:name="_9198e7a155efe1ad93be7df501f7c3034a527c7"/>
      <w:r>
        <w:rPr>
          <w:rStyle w:val="SectionNumber"/>
          <w:lang w:val="es-CO"/>
        </w:rPr>
        <w:t xml:space="preserve">2.2</w:t>
      </w:r>
      <w:r>
        <w:tab/>
      </w:r>
      <w:r>
        <w:rPr>
          <w:lang w:val="es-CO"/>
        </w:rPr>
        <w:t xml:space="preserve">Infraestructura y operación</w:t>
      </w:r>
      <w:bookmarkEnd w:id="22"/>
    </w:p>
    <w:p>
      <w:pPr>
        <w:pStyle w:val="TableCaption"/>
      </w:pPr>
      <w:r>
        <w:rPr>
          <w:lang w:val="es-CO"/>
        </w:rPr>
        <w:t xml:space="preserve">Condiciones de infraestructura para evaluar el RDBMS</w:t>
      </w:r>
    </w:p>
    <w:tbl>
      <w:tblPr>
        <w:tblStyle w:val="Table"/>
        <w:tblW w:type="pct" w:w="5000"/>
        <w:tblLayout w:type="fixed"/>
        <w:tblLook w:firstRow="1" w:lastRow="0" w:firstColumn="0" w:lastColumn="0" w:noHBand="0" w:noVBand="0" w:val="0020"/>
        <w:tblCaption w:val="Condiciones de infraestructura para evaluar el RDBM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Condición del proyecto</w:t>
            </w:r>
          </w:p>
        </w:tc>
      </w:tr>
      <w:tr>
        <w:tc>
          <w:tcPr/>
          <w:p>
            <w:pPr>
              <w:pStyle w:val="Compact"/>
            </w:pPr>
            <w:r>
              <w:rPr>
                <w:sz w:val="19"/>
                <w:lang w:val="es-CO"/>
              </w:rPr>
              <w:t xml:space="preserve">Sistema invitado</w:t>
            </w:r>
          </w:p>
        </w:tc>
        <w:tc>
          <w:tcPr/>
          <w:p>
            <w:pPr>
              <w:pStyle w:val="Compact"/>
            </w:pPr>
            <w:r>
              <w:rPr>
                <w:sz w:val="19"/>
                <w:lang w:val="es-CO"/>
              </w:rPr>
              <w:t xml:space="preserve">Oracle Linux 9 x86_64, instalación mínima sin escritorio</w:t>
            </w:r>
          </w:p>
        </w:tc>
      </w:tr>
      <w:tr>
        <w:tc>
          <w:tcPr/>
          <w:p>
            <w:pPr>
              <w:pStyle w:val="Compact"/>
            </w:pPr>
            <w:r>
              <w:rPr>
                <w:sz w:val="19"/>
                <w:lang w:val="es-CO"/>
              </w:rPr>
              <w:t xml:space="preserve">VM definitiva</w:t>
            </w:r>
          </w:p>
        </w:tc>
        <w:tc>
          <w:tcPr/>
          <w:p>
            <w:pPr>
              <w:pStyle w:val="Compact"/>
            </w:pPr>
            <w:r>
              <w:rPr>
                <w:sz w:val="19"/>
                <w:lang w:val="es-CO"/>
              </w:rPr>
              <w:t xml:space="preserve">VirtualBox en el equipo servidor; NAT con reenvío de puertos o adaptador puente</w:t>
            </w:r>
          </w:p>
        </w:tc>
      </w:tr>
      <w:tr>
        <w:tc>
          <w:tcPr/>
          <w:p>
            <w:pPr>
              <w:pStyle w:val="Compact"/>
            </w:pPr>
            <w:r>
              <w:rPr>
                <w:sz w:val="19"/>
                <w:lang w:val="es-CO"/>
              </w:rPr>
              <w:t xml:space="preserve">Simulación</w:t>
            </w:r>
          </w:p>
        </w:tc>
        <w:tc>
          <w:tcPr/>
          <w:p>
            <w:pPr>
              <w:pStyle w:val="Compact"/>
            </w:pPr>
            <w:r>
              <w:rPr>
                <w:sz w:val="19"/>
                <w:lang w:val="es-CO"/>
              </w:rPr>
              <w:t xml:space="preserve">Lima sobre Virtualization.framework en macOS Intel</w:t>
            </w:r>
          </w:p>
        </w:tc>
      </w:tr>
      <w:tr>
        <w:tc>
          <w:tcPr/>
          <w:p>
            <w:pPr>
              <w:pStyle w:val="Compact"/>
            </w:pPr>
            <w:r>
              <w:rPr>
                <w:sz w:val="19"/>
                <w:lang w:val="es-CO"/>
              </w:rPr>
              <w:t xml:space="preserve">Recursos asignados</w:t>
            </w:r>
          </w:p>
        </w:tc>
        <w:tc>
          <w:tcPr/>
          <w:p>
            <w:pPr>
              <w:pStyle w:val="Compact"/>
            </w:pPr>
            <w:r>
              <w:rPr>
                <w:sz w:val="19"/>
                <w:lang w:val="es-CO"/>
              </w:rPr>
              <w:t xml:space="preserve">4 vCPU, 6 GiB de RAM y 40 GiB de disco virtual</w:t>
            </w:r>
          </w:p>
        </w:tc>
      </w:tr>
      <w:tr>
        <w:tc>
          <w:tcPr/>
          <w:p>
            <w:pPr>
              <w:pStyle w:val="Compact"/>
            </w:pPr>
            <w:r>
              <w:rPr>
                <w:sz w:val="19"/>
                <w:lang w:val="es-CO"/>
              </w:rPr>
              <w:t xml:space="preserve">Instalación del motor</w:t>
            </w:r>
          </w:p>
        </w:tc>
        <w:tc>
          <w:tcPr/>
          <w:p>
            <w:pPr>
              <w:pStyle w:val="Compact"/>
            </w:pPr>
            <w:r>
              <w:rPr>
                <w:sz w:val="19"/>
                <w:lang w:val="es-CO"/>
              </w:rPr>
              <w:t xml:space="preserve">Módulo</w:t>
            </w:r>
            <w:r>
              <w:rPr>
                <w:sz w:val="19"/>
                <w:lang w:val="es-CO"/>
              </w:rPr>
              <w:t xml:space="preserve"> </w:t>
            </w:r>
            <w:r>
              <w:rPr>
                <w:rStyle w:val="VerbatimChar"/>
                <w:sz w:val="19"/>
                <w:lang w:val="es-CO"/>
              </w:rPr>
              <w:t xml:space="preserve">mysql:8.4</w:t>
            </w:r>
            <w:r>
              <w:rPr>
                <w:sz w:val="19"/>
                <w:lang w:val="es-CO"/>
              </w:rPr>
              <w:t xml:space="preserve"> </w:t>
            </w:r>
            <w:r>
              <w:rPr>
                <w:sz w:val="19"/>
                <w:lang w:val="es-CO"/>
              </w:rPr>
              <w:t xml:space="preserve">de AppStream, con</w:t>
            </w:r>
            <w:r>
              <w:rPr>
                <w:sz w:val="19"/>
                <w:lang w:val="es-CO"/>
              </w:rPr>
              <w:t xml:space="preserve"> </w:t>
            </w:r>
            <w:r>
              <w:rPr>
                <w:rStyle w:val="VerbatimChar"/>
                <w:sz w:val="19"/>
                <w:lang w:val="es-CO"/>
              </w:rPr>
              <w:t xml:space="preserve">mysql-server</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mysql</w:t>
            </w:r>
          </w:p>
        </w:tc>
      </w:tr>
      <w:tr>
        <w:tc>
          <w:tcPr/>
          <w:p>
            <w:pPr>
              <w:pStyle w:val="Compact"/>
            </w:pPr>
            <w:r>
              <w:rPr>
                <w:sz w:val="19"/>
                <w:lang w:val="es-CO"/>
              </w:rPr>
              <w:t xml:space="preserve">Administración gráfica</w:t>
            </w:r>
          </w:p>
        </w:tc>
        <w:tc>
          <w:tcPr/>
          <w:p>
            <w:pPr>
              <w:pStyle w:val="Compact"/>
            </w:pPr>
            <w:r>
              <w:rPr>
                <w:sz w:val="19"/>
                <w:lang w:val="es-CO"/>
              </w:rPr>
              <w:t xml:space="preserve">MySQL Workbench 8.0.44 en el anfitrión, puerto 3306</w:t>
            </w:r>
          </w:p>
        </w:tc>
      </w:tr>
      <w:tr>
        <w:tc>
          <w:tcPr/>
          <w:p>
            <w:pPr>
              <w:pStyle w:val="Compact"/>
            </w:pPr>
            <w:r>
              <w:rPr>
                <w:sz w:val="19"/>
                <w:lang w:val="es-CO"/>
              </w:rPr>
              <w:t xml:space="preserve">Tamaño medido de la base</w:t>
            </w:r>
          </w:p>
        </w:tc>
        <w:tc>
          <w:tcPr/>
          <w:p>
            <w:pPr>
              <w:pStyle w:val="Compact"/>
            </w:pPr>
            <w:r>
              <w:rPr>
                <w:sz w:val="19"/>
                <w:lang w:val="es-CO"/>
              </w:rPr>
              <w:t xml:space="preserve">1,08 MB de datos e índices según</w:t>
            </w:r>
            <w:r>
              <w:rPr>
                <w:sz w:val="19"/>
                <w:lang w:val="es-CO"/>
              </w:rPr>
              <w:t xml:space="preserve"> </w:t>
            </w:r>
            <w:r>
              <w:rPr>
                <w:rStyle w:val="VerbatimChar"/>
                <w:sz w:val="19"/>
                <w:lang w:val="es-CO"/>
              </w:rPr>
              <w:t xml:space="preserve">information_schema.TABLES</w:t>
            </w:r>
          </w:p>
        </w:tc>
      </w:tr>
    </w:tbl>
    <w:p>
      <w:pPr>
        <w:pStyle w:val="FirstParagraph"/>
      </w:pPr>
      <w:r>
        <w:rPr>
          <w:lang w:val="es-CO"/>
        </w:rPr>
        <w:t xml:space="preserve">AppStream ofrece el módulo</w:t>
      </w:r>
      <w:r>
        <w:rPr>
          <w:lang w:val="es-CO"/>
        </w:rPr>
        <w:t xml:space="preserve"> </w:t>
      </w:r>
      <w:r>
        <w:rPr>
          <w:rStyle w:val="VerbatimChar"/>
          <w:lang w:val="es-CO"/>
        </w:rPr>
        <w:t xml:space="preserve">mysql:8.4</w:t>
      </w:r>
      <w:r>
        <w:rPr>
          <w:lang w:val="es-CO"/>
        </w:rPr>
        <w:t xml:space="preserve"> </w:t>
      </w:r>
      <w:r>
        <w:rPr>
          <w:lang w:val="es-CO"/>
        </w:rPr>
        <w:t xml:space="preserve">para Oracle Linux 9, por lo que la instalación no requiere descargar RPM aparte ni agregar un repositorio externo. El instalador y las evidencias del proyecto identifican la revisión instalada de la rama</w:t>
      </w:r>
      <w:r>
        <w:rPr>
          <w:lang w:val="es-CO"/>
        </w:rPr>
        <w:t xml:space="preserve"> </w:t>
      </w:r>
      <w:r>
        <w:rPr>
          <w:b/>
          <w:bCs/>
          <w:lang w:val="es-CO"/>
        </w:rPr>
        <w:t xml:space="preserve">8.4 LTS</w:t>
      </w:r>
      <w:r>
        <w:rPr>
          <w:lang w:val="es-CO"/>
        </w:rPr>
        <w:t xml:space="preserve">; el documento de implementación presenta su número completo. [4]</w:t>
      </w:r>
    </w:p>
    <w:p>
      <w:pPr>
        <w:pStyle w:val="BodyText"/>
      </w:pPr>
      <w:r>
        <w:rPr>
          <w:lang w:val="es-CO"/>
        </w:rPr>
        <w:t xml:space="preserve">Community Edition es gratuita y tiene licencia GPLv2. No impone límites de tamaño, CPU o RAM por edición como Oracle Free; la capacidad depende del hardware, el sistema de archivos y los límites técnicos del motor. La descarga comunitaria no incluye un contrato de soporte comercial. [1, 5]</w:t>
      </w:r>
    </w:p>
    <w:p>
      <w:pPr>
        <w:pStyle w:val="Heading1"/>
      </w:pPr>
      <w:bookmarkStart w:id="23" w:name="_fc1b89aa578c8dad569381cc7799ba74ab17fc9"/>
      <w:r>
        <w:rPr>
          <w:rStyle w:val="SectionNumber"/>
          <w:lang w:val="es-CO"/>
        </w:rPr>
        <w:t xml:space="preserve">3</w:t>
      </w:r>
      <w:r>
        <w:tab/>
      </w:r>
      <w:r>
        <w:rPr>
          <w:lang w:val="es-CO"/>
        </w:rPr>
        <w:t xml:space="preserve">Alternativas evaluadas</w:t>
      </w:r>
      <w:bookmarkEnd w:id="23"/>
    </w:p>
    <w:p>
      <w:pPr>
        <w:pStyle w:val="Heading2"/>
      </w:pPr>
      <w:bookmarkStart w:id="24" w:name="_d358fa097b0a8e7ca2a8ec629d3d00f510f5473"/>
      <w:r>
        <w:rPr>
          <w:rStyle w:val="SectionNumber"/>
          <w:lang w:val="es-CO"/>
        </w:rPr>
        <w:t xml:space="preserve">3.1</w:t>
      </w:r>
      <w:r>
        <w:tab/>
      </w:r>
      <w:r>
        <w:rPr>
          <w:lang w:val="es-CO"/>
        </w:rPr>
        <w:t xml:space="preserve">MySQL 8.4 LTS Community Edition</w:t>
      </w:r>
      <w:bookmarkEnd w:id="24"/>
    </w:p>
    <w:p>
      <w:pPr>
        <w:pStyle w:val="FirstParagraph"/>
      </w:pPr>
      <w:r>
        <w:rPr>
          <w:lang w:val="es-CO"/>
        </w:rPr>
        <w:t xml:space="preserve">Con InnoDB ofrece transacciones e integridad referencial mediante claves foráneas. Aplica restricciones</w:t>
      </w:r>
      <w:r>
        <w:rPr>
          <w:lang w:val="es-CO"/>
        </w:rPr>
        <w:t xml:space="preserve"> </w:t>
      </w:r>
      <w:r>
        <w:rPr>
          <w:rStyle w:val="VerbatimChar"/>
          <w:lang w:val="es-CO"/>
        </w:rPr>
        <w:t xml:space="preserve">CHECK</w:t>
      </w:r>
      <w:r>
        <w:rPr>
          <w:lang w:val="es-CO"/>
        </w:rPr>
        <w:t xml:space="preserve"> </w:t>
      </w:r>
      <w:r>
        <w:rPr>
          <w:lang w:val="es-CO"/>
        </w:rPr>
        <w:t xml:space="preserve">desde 8.0.16 e incorpora</w:t>
      </w:r>
      <w:r>
        <w:rPr>
          <w:lang w:val="es-CO"/>
        </w:rPr>
        <w:t xml:space="preserve"> </w:t>
      </w:r>
      <w:r>
        <w:rPr>
          <w:rStyle w:val="VerbatimChar"/>
          <w:lang w:val="es-CO"/>
        </w:rPr>
        <w:t xml:space="preserve">EXCEPT</w:t>
      </w:r>
      <w:r>
        <w:rPr>
          <w:lang w:val="es-CO"/>
        </w:rPr>
        <w:t xml:space="preserve"> </w:t>
      </w:r>
      <w:r>
        <w:rPr>
          <w:lang w:val="es-CO"/>
        </w:rPr>
        <w:t xml:space="preserve">e</w:t>
      </w:r>
      <w:r>
        <w:rPr>
          <w:lang w:val="es-CO"/>
        </w:rPr>
        <w:t xml:space="preserve"> </w:t>
      </w:r>
      <w:r>
        <w:rPr>
          <w:rStyle w:val="VerbatimChar"/>
          <w:lang w:val="es-CO"/>
        </w:rPr>
        <w:t xml:space="preserve">INTERSECT</w:t>
      </w:r>
      <w:r>
        <w:rPr>
          <w:lang w:val="es-CO"/>
        </w:rPr>
        <w:t xml:space="preserve"> </w:t>
      </w:r>
      <w:r>
        <w:rPr>
          <w:lang w:val="es-CO"/>
        </w:rPr>
        <w:t xml:space="preserve">desde 8.0.31, funciones disponibles en 8.4. También admite vistas, funciones, procedimientos y disparadores con</w:t>
      </w:r>
      <w:r>
        <w:rPr>
          <w:lang w:val="es-CO"/>
        </w:rPr>
        <w:t xml:space="preserve"> </w:t>
      </w:r>
      <w:r>
        <w:rPr>
          <w:rStyle w:val="VerbatimChar"/>
          <w:lang w:val="es-CO"/>
        </w:rPr>
        <w:t xml:space="preserve">SIGNAL</w:t>
      </w:r>
      <w:r>
        <w:rPr>
          <w:lang w:val="es-CO"/>
        </w:rPr>
        <w:t xml:space="preserve"> </w:t>
      </w:r>
      <w:r>
        <w:rPr>
          <w:lang w:val="es-CO"/>
        </w:rPr>
        <w:t xml:space="preserve">para rechazar operaciones que incumplan las reglas. [5, 6, 7, 8]</w:t>
      </w:r>
    </w:p>
    <w:p>
      <w:pPr>
        <w:pStyle w:val="BodyText"/>
      </w:pPr>
      <w:r>
        <w:rPr>
          <w:b/>
          <w:bCs/>
          <w:lang w:val="es-CO"/>
        </w:rPr>
        <w:t xml:space="preserve">Ventajas:</w:t>
      </w:r>
      <w:r>
        <w:rPr>
          <w:lang w:val="es-CO"/>
        </w:rPr>
        <w:t xml:space="preserve"> </w:t>
      </w:r>
      <w:r>
        <w:rPr>
          <w:lang w:val="es-CO"/>
        </w:rPr>
        <w:t xml:space="preserve">licencia gratuita sin límites de edición equivalentes a Oracle Free; paquete oficial en AppStream; Workbench Community gratuito para modelado, administración y consultas; Connector/J oficial; familiaridad del equipo y una comunidad amplia. La base cargada ocupa 1,08 MB, lo que muestra una necesidad baja de almacenamiento para este conjunto académico. Ese tamaño no mide el consumo de RAM ni demuestra por sí solo mayor rendimiento que otros motores.</w:t>
      </w:r>
    </w:p>
    <w:p>
      <w:pPr>
        <w:pStyle w:val="BodyText"/>
      </w:pPr>
      <w:r>
        <w:rPr>
          <w:b/>
          <w:bCs/>
          <w:lang w:val="es-CO"/>
        </w:rPr>
        <w:t xml:space="preserve">Desventajas:</w:t>
      </w:r>
      <w:r>
        <w:rPr>
          <w:lang w:val="es-CO"/>
        </w:rPr>
        <w:t xml:space="preserve"> </w:t>
      </w:r>
      <w:r>
        <w:rPr>
          <w:lang w:val="es-CO"/>
        </w:rPr>
        <w:t xml:space="preserve">carece de</w:t>
      </w:r>
      <w:r>
        <w:rPr>
          <w:lang w:val="es-CO"/>
        </w:rPr>
        <w:t xml:space="preserve"> </w:t>
      </w:r>
      <w:r>
        <w:rPr>
          <w:rStyle w:val="VerbatimChar"/>
          <w:lang w:val="es-CO"/>
        </w:rPr>
        <w:t xml:space="preserve">FULL OUTER JOIN</w:t>
      </w:r>
      <w:r>
        <w:rPr>
          <w:lang w:val="es-CO"/>
        </w:rPr>
        <w:t xml:space="preserve">; cada disparador atiende un solo evento; y, con la configuración habitual de Linux, los nombres de tabla distinguen mayúsculas. El analizador de Workbench usado en el proyecto no reconoce valores por defecto con expresión como</w:t>
      </w:r>
      <w:r>
        <w:rPr>
          <w:lang w:val="es-CO"/>
        </w:rPr>
        <w:t xml:space="preserve"> </w:t>
      </w:r>
      <w:r>
        <w:rPr>
          <w:rStyle w:val="VerbatimChar"/>
          <w:lang w:val="es-CO"/>
        </w:rPr>
        <w:t xml:space="preserve">DEFAULT (CURRENT_DATE)</w:t>
      </w:r>
      <w:r>
        <w:rPr>
          <w:lang w:val="es-CO"/>
        </w:rPr>
        <w:t xml:space="preserve">, aunque el servidor los admite. Las adaptaciones se explican en los riesgos y están reflejadas en los scripts. [8, 9, 10, 11]</w:t>
      </w:r>
    </w:p>
    <w:p>
      <w:pPr>
        <w:pStyle w:val="Heading2"/>
      </w:pPr>
      <w:bookmarkStart w:id="25" w:name="_ec74f51af24b68ceaa18ff6481b12f0ee57f563"/>
      <w:r>
        <w:rPr>
          <w:rStyle w:val="SectionNumber"/>
          <w:lang w:val="es-CO"/>
        </w:rPr>
        <w:t xml:space="preserve">3.2</w:t>
      </w:r>
      <w:r>
        <w:tab/>
      </w:r>
      <w:r>
        <w:rPr>
          <w:lang w:val="es-CO"/>
        </w:rPr>
        <w:t xml:space="preserve">PostgreSQL 17</w:t>
      </w:r>
      <w:bookmarkEnd w:id="25"/>
    </w:p>
    <w:p>
      <w:pPr>
        <w:pStyle w:val="FirstParagraph"/>
      </w:pPr>
      <w:r>
        <w:rPr>
          <w:lang w:val="es-CO"/>
        </w:rPr>
        <w:t xml:space="preserve">Motor gratuito de código abierto con licencia PostgreSQL permisiva. Ofrece transacciones, integridad referencial, restricciones y una amplia cobertura de SQL, incluido</w:t>
      </w:r>
      <w:r>
        <w:rPr>
          <w:lang w:val="es-CO"/>
        </w:rPr>
        <w:t xml:space="preserve"> </w:t>
      </w:r>
      <w:r>
        <w:rPr>
          <w:rStyle w:val="VerbatimChar"/>
          <w:lang w:val="es-CO"/>
        </w:rPr>
        <w:t xml:space="preserve">FULL OUTER JOIN</w:t>
      </w:r>
      <w:r>
        <w:rPr>
          <w:lang w:val="es-CO"/>
        </w:rPr>
        <w:t xml:space="preserve">. Puede ejecutarse en Oracle Linux y conectarse desde Java mediante JDBC; es una alternativa sólida para el modelo. [12]</w:t>
      </w:r>
    </w:p>
    <w:p>
      <w:pPr>
        <w:pStyle w:val="BodyText"/>
      </w:pPr>
      <w:r>
        <w:rPr>
          <w:b/>
          <w:bCs/>
          <w:lang w:val="es-CO"/>
        </w:rPr>
        <w:t xml:space="preserve">Ventajas:</w:t>
      </w:r>
      <w:r>
        <w:rPr>
          <w:lang w:val="es-CO"/>
        </w:rPr>
        <w:t xml:space="preserve"> </w:t>
      </w:r>
      <w:r>
        <w:rPr>
          <w:lang w:val="es-CO"/>
        </w:rPr>
        <w:t xml:space="preserve">expresividad SQL, controles de integridad, documentación y comunidad amplias, sin límites de edición comparables a Oracle Free.</w:t>
      </w:r>
      <w:r>
        <w:rPr>
          <w:lang w:val="es-CO"/>
        </w:rPr>
        <w:t xml:space="preserve"> </w:t>
      </w:r>
      <w:r>
        <w:rPr>
          <w:b/>
          <w:bCs/>
          <w:lang w:val="es-CO"/>
        </w:rPr>
        <w:t xml:space="preserve">Desventajas para este equipo:</w:t>
      </w:r>
      <w:r>
        <w:rPr>
          <w:lang w:val="es-CO"/>
        </w:rPr>
        <w:t xml:space="preserve"> </w:t>
      </w:r>
      <w:r>
        <w:rPr>
          <w:lang w:val="es-CO"/>
        </w:rPr>
        <w:t xml:space="preserve">exige aprender y validar otro flujo de modelado y administración; Workbench está orientado a MySQL. No se penaliza su capacidad relacional ni se afirma que tenga peor rendimiento: la diferencia está en las herramientas y la experiencia disponibles.</w:t>
      </w:r>
    </w:p>
    <w:p>
      <w:pPr>
        <w:pStyle w:val="Heading2"/>
      </w:pPr>
      <w:bookmarkStart w:id="26" w:name="_a581c7f1a2e5dd7dc124f81b6cc6a337b9d322d"/>
      <w:r>
        <w:rPr>
          <w:rStyle w:val="SectionNumber"/>
          <w:lang w:val="es-CO"/>
        </w:rPr>
        <w:t xml:space="preserve">3.3</w:t>
      </w:r>
      <w:r>
        <w:tab/>
      </w:r>
      <w:r>
        <w:rPr>
          <w:lang w:val="es-CO"/>
        </w:rPr>
        <w:t xml:space="preserve">Oracle Database Free</w:t>
      </w:r>
      <w:bookmarkEnd w:id="26"/>
    </w:p>
    <w:p>
      <w:pPr>
        <w:pStyle w:val="FirstParagraph"/>
      </w:pPr>
      <w:r>
        <w:rPr>
          <w:lang w:val="es-CO"/>
        </w:rPr>
        <w:t xml:space="preserve">Fue el motor de la primera prueba y su implementación quedó como respaldo. Ofrece transacciones, restricciones, vistas, rutinas, disparadores y herramientas gratuitas como SQL Developer Data Modeler, además de un controlador JDBC oficial.</w:t>
      </w:r>
    </w:p>
    <w:p>
      <w:pPr>
        <w:pStyle w:val="BodyText"/>
      </w:pPr>
      <w:r>
        <w:rPr>
          <w:b/>
          <w:bCs/>
          <w:lang w:val="es-CO"/>
        </w:rPr>
        <w:t xml:space="preserve">Ventajas:</w:t>
      </w:r>
      <w:r>
        <w:rPr>
          <w:lang w:val="es-CO"/>
        </w:rPr>
        <w:t xml:space="preserve"> </w:t>
      </w:r>
      <w:r>
        <w:rPr>
          <w:lang w:val="es-CO"/>
        </w:rPr>
        <w:t xml:space="preserve">funciones relacionales suficientes y una instalación que el equipo ya probó.</w:t>
      </w:r>
      <w:r>
        <w:rPr>
          <w:lang w:val="es-CO"/>
        </w:rPr>
        <w:t xml:space="preserve"> </w:t>
      </w:r>
      <w:r>
        <w:rPr>
          <w:b/>
          <w:bCs/>
          <w:lang w:val="es-CO"/>
        </w:rPr>
        <w:t xml:space="preserve">Desventajas:</w:t>
      </w:r>
      <w:r>
        <w:rPr>
          <w:lang w:val="es-CO"/>
        </w:rPr>
        <w:t xml:space="preserve"> </w:t>
      </w:r>
      <w:r>
        <w:rPr>
          <w:lang w:val="es-CO"/>
        </w:rPr>
        <w:t xml:space="preserve">licencia propietaria de uso gratuito, límites de</w:t>
      </w:r>
      <w:r>
        <w:rPr>
          <w:lang w:val="es-CO"/>
        </w:rPr>
        <w:t xml:space="preserve"> </w:t>
      </w:r>
      <w:r>
        <w:rPr>
          <w:b/>
          <w:bCs/>
          <w:lang w:val="es-CO"/>
        </w:rPr>
        <w:t xml:space="preserve">2 CPU, 2 GB de RAM y 12 GB de datos de usuario</w:t>
      </w:r>
      <w:r>
        <w:rPr>
          <w:lang w:val="es-CO"/>
        </w:rPr>
        <w:t xml:space="preserve">, y una instalación que requirió preinstalador y RPM separado. El límite de memoria corresponde al motor, no a toda la VM. Estas restricciones no impiden alojar los datos académicos, pero reducen el margen y añaden pasos frente al módulo MySQL de AppStream. [13]</w:t>
      </w:r>
    </w:p>
    <w:p>
      <w:pPr>
        <w:pStyle w:val="Heading2"/>
      </w:pPr>
      <w:bookmarkStart w:id="27" w:name="_e9c39664807031d354051381fe130e0d2e5c485"/>
      <w:r>
        <w:rPr>
          <w:rStyle w:val="SectionNumber"/>
          <w:lang w:val="es-CO"/>
        </w:rPr>
        <w:t xml:space="preserve">3.4</w:t>
      </w:r>
      <w:r>
        <w:tab/>
      </w:r>
      <w:r>
        <w:rPr>
          <w:lang w:val="es-CO"/>
        </w:rPr>
        <w:t xml:space="preserve">MariaDB 11.4 LTS</w:t>
      </w:r>
      <w:bookmarkEnd w:id="27"/>
    </w:p>
    <w:p>
      <w:pPr>
        <w:pStyle w:val="FirstParagraph"/>
      </w:pPr>
      <w:r>
        <w:rPr>
          <w:lang w:val="es-CO"/>
        </w:rPr>
        <w:t xml:space="preserve">Motor gratuito de código abierto bajo GPLv2, con InnoDB, transacciones, claves foráneas, restricciones y conectividad Java. Es viable para SIGEVET y tiene una comunidad propia. [14]</w:t>
      </w:r>
    </w:p>
    <w:p>
      <w:pPr>
        <w:pStyle w:val="BodyText"/>
      </w:pPr>
      <w:r>
        <w:rPr>
          <w:b/>
          <w:bCs/>
          <w:lang w:val="es-CO"/>
        </w:rPr>
        <w:t xml:space="preserve">Ventajas:</w:t>
      </w:r>
      <w:r>
        <w:rPr>
          <w:lang w:val="es-CO"/>
        </w:rPr>
        <w:t xml:space="preserve"> </w:t>
      </w:r>
      <w:r>
        <w:rPr>
          <w:lang w:val="es-CO"/>
        </w:rPr>
        <w:t xml:space="preserve">licencia libre, recursos configurables y funciones relacionales suficientes.</w:t>
      </w:r>
      <w:r>
        <w:rPr>
          <w:lang w:val="es-CO"/>
        </w:rPr>
        <w:t xml:space="preserve"> </w:t>
      </w:r>
      <w:r>
        <w:rPr>
          <w:b/>
          <w:bCs/>
          <w:lang w:val="es-CO"/>
        </w:rPr>
        <w:t xml:space="preserve">Desventajas para el proyecto:</w:t>
      </w:r>
      <w:r>
        <w:rPr>
          <w:lang w:val="es-CO"/>
        </w:rPr>
        <w:t xml:space="preserve"> </w:t>
      </w:r>
      <w:r>
        <w:rPr>
          <w:lang w:val="es-CO"/>
        </w:rPr>
        <w:t xml:space="preserve">MariaDB y MySQL han divergido; habría que validar dialecto, conector y herramientas. Workbench se diseña para MySQL y no se presupone compatibilidad completa con MariaDB. La familiaridad del equipo con MySQL no sustituye esa comprobación.</w:t>
      </w:r>
    </w:p>
    <w:p>
      <w:pPr>
        <w:pStyle w:val="Heading1"/>
      </w:pPr>
      <w:bookmarkStart w:id="28" w:name="_24959e01fe8cdb212bbf987bd50bfd165909e61"/>
      <w:r>
        <w:rPr>
          <w:rStyle w:val="SectionNumber"/>
          <w:lang w:val="es-CO"/>
        </w:rPr>
        <w:t xml:space="preserve">4</w:t>
      </w:r>
      <w:r>
        <w:tab/>
      </w:r>
      <w:r>
        <w:rPr>
          <w:lang w:val="es-CO"/>
        </w:rPr>
        <w:t xml:space="preserve">Criterios y método de evaluación</w:t>
      </w:r>
      <w:bookmarkEnd w:id="28"/>
    </w:p>
    <w:p>
      <w:pPr>
        <w:pStyle w:val="FirstParagraph"/>
      </w:pPr>
      <w:r>
        <w:rPr>
          <w:lang w:val="es-CO"/>
        </w:rPr>
        <w:t xml:space="preserve">Se califica de</w:t>
      </w:r>
      <w:r>
        <w:rPr>
          <w:lang w:val="es-CO"/>
        </w:rPr>
        <w:t xml:space="preserve"> </w:t>
      </w:r>
      <w:r>
        <w:rPr>
          <w:b/>
          <w:bCs/>
          <w:lang w:val="es-CO"/>
        </w:rPr>
        <w:t xml:space="preserve">1 a 5</w:t>
      </w:r>
      <w:r>
        <w:rPr>
          <w:lang w:val="es-CO"/>
        </w:rPr>
        <w:t xml:space="preserve">: 1 indica ajuste muy bajo; 2, bajo; 3, aceptable con adaptaciones; 4, alto; y 5, muy alto para este proyecto. Los pesos suman</w:t>
      </w:r>
      <w:r>
        <w:rPr>
          <w:lang w:val="es-CO"/>
        </w:rPr>
        <w:t xml:space="preserve"> </w:t>
      </w:r>
      <w:r>
        <w:rPr>
          <w:b/>
          <w:bCs/>
          <w:lang w:val="es-CO"/>
        </w:rPr>
        <w:t xml:space="preserve">100 %</w:t>
      </w:r>
      <w:r>
        <w:rPr>
          <w:lang w:val="es-CO"/>
        </w:rPr>
        <w:t xml:space="preserve">. Son valoraciones del equipo para el laboratorio, no resultados de un benchmark entre motores.</w:t>
      </w:r>
    </w:p>
    <w:p>
      <w:pPr>
        <w:pStyle w:val="BodyText"/>
      </w:pPr>
      <w:r>
        <w:rPr>
          <w:lang w:val="es-CO"/>
        </w:rPr>
        <w:t xml:space="preserve">SQL e integridad suman 30 % porque son el centro de la asignatura. Modelado e instalación suman otro 30 % por la necesidad de trabajar con una herramienta admitida y reproducir el ambiente. Costo valora licencia y límites; recursos considera la operación de una VM pequeña; familiaridad reconoce la experiencia del equipo. Todos reciben 5 en JDBC porque cuentan con controladores adecuados para Java.</w:t>
      </w:r>
    </w:p>
    <w:p>
      <w:pPr>
        <w:pStyle w:val="BodyText"/>
      </w:pPr>
      <w:r>
        <w:rPr>
          <w:lang w:val="es-CO"/>
        </w:rPr>
        <w:t xml:space="preserve">MySQL recibe 4 en SQL por la ausencia de</w:t>
      </w:r>
      <w:r>
        <w:rPr>
          <w:lang w:val="es-CO"/>
        </w:rPr>
        <w:t xml:space="preserve"> </w:t>
      </w:r>
      <w:r>
        <w:rPr>
          <w:rStyle w:val="VerbatimChar"/>
          <w:lang w:val="es-CO"/>
        </w:rPr>
        <w:t xml:space="preserve">FULL OUTER JOIN</w:t>
      </w:r>
      <w:r>
        <w:rPr>
          <w:lang w:val="es-CO"/>
        </w:rPr>
        <w:t xml:space="preserve">. PostgreSQL recibe 4 en herramientas por requerir un flujo distinto; Oracle recibe 5 por Data Modeler y MariaDB 3 por la validación adicional con Workbench. En instalación, MySQL recibe 5 por el módulo probado de AppStream; PostgreSQL y MariaDB 4 por sus opciones de paquetes Linux, y Oracle 3 por sus pasos adicionales. En recursos no se atribuye superioridad medida a MySQL frente a PostgreSQL o MariaDB: los tres reciben 4 y Oracle 3 por el mayor trabajo de configuración de su instalación de respaldo.</w:t>
      </w:r>
    </w:p>
    <w:p>
      <w:pPr>
        <w:pStyle w:val="BodyText"/>
      </w:pPr>
      <w:r>
        <w:rPr>
          <w:lang w:val="es-CO"/>
        </w:rPr>
        <w:t xml:space="preserve">El puntaje ponderado se calcula como</w:t>
      </w:r>
      <w:r>
        <w:rPr>
          <w:lang w:val="es-CO"/>
        </w:rPr>
        <w:t xml:space="preserve"> </w:t>
      </w:r>
      <m:oMath>
        <m:sSub>
          <m:e>
            <m:r>
              <m:t>T</m:t>
            </m:r>
          </m:e>
          <m:sub>
            <m:r>
              <m:t>j</m:t>
            </m:r>
          </m:sub>
        </m:sSub>
        <m:r>
          <m:rPr>
            <m:sty m:val="p"/>
          </m:rPr>
          <m:t>=</m:t>
        </m:r>
        <m:nary>
          <m:naryPr>
            <m:chr m:val="∑"/>
            <m:limLoc m:val="undOvr"/>
            <m:subHide m:val="off"/>
            <m:supHide m:val="on"/>
          </m:naryPr>
          <m:sub>
            <m:r>
              <m:t>i</m:t>
            </m:r>
          </m:sub>
          <m:sup>
            <m:r>
              <m:t>​</m:t>
            </m:r>
          </m:sup>
          <m:e>
            <m:r>
              <m:rPr>
                <m:sty m:val="p"/>
              </m:rPr>
              <m:t>(</m:t>
            </m:r>
          </m:e>
        </m:nary>
        <m:sSub>
          <m:e>
            <m:r>
              <m:t>p</m:t>
            </m:r>
          </m:e>
          <m:sub>
            <m:r>
              <m:t>i</m:t>
            </m:r>
          </m:sub>
        </m:sSub>
        <m:r>
          <m:rPr>
            <m:sty m:val="p"/>
          </m:rPr>
          <m:t>×</m:t>
        </m:r>
        <m:sSub>
          <m:e>
            <m:r>
              <m:t>s</m:t>
            </m:r>
          </m:e>
          <m:sub>
            <m:r>
              <m:t>i</m:t>
            </m:r>
            <m:r>
              <m:t>j</m:t>
            </m:r>
          </m:sub>
        </m:sSub>
        <m:r>
          <m:rPr>
            <m:sty m:val="p"/>
          </m:rPr>
          <m:t>)</m:t>
        </m:r>
        <m:r>
          <m:rPr>
            <m:sty m:val="p"/>
          </m:rPr>
          <m:t>/</m:t>
        </m:r>
        <m:r>
          <m:t>100</m:t>
        </m:r>
      </m:oMath>
      <w:r>
        <w:rPr>
          <w:lang w:val="es-CO"/>
        </w:rPr>
        <w:t xml:space="preserve">, donde</w:t>
      </w:r>
      <w:r>
        <w:rPr>
          <w:lang w:val="es-CO"/>
        </w:rPr>
        <w:t xml:space="preserve"> </w:t>
      </w:r>
      <m:oMath>
        <m:sSub>
          <m:e>
            <m:r>
              <m:t>p</m:t>
            </m:r>
          </m:e>
          <m:sub>
            <m:r>
              <m:t>i</m:t>
            </m:r>
          </m:sub>
        </m:sSub>
      </m:oMath>
      <w:r>
        <w:rPr>
          <w:lang w:val="es-CO"/>
        </w:rPr>
        <w:t xml:space="preserve"> </w:t>
      </w:r>
      <w:r>
        <w:rPr>
          <w:lang w:val="es-CO"/>
        </w:rPr>
        <w:t xml:space="preserve">es el peso porcentual y</w:t>
      </w:r>
      <w:r>
        <w:rPr>
          <w:lang w:val="es-CO"/>
        </w:rPr>
        <w:t xml:space="preserve"> </w:t>
      </w:r>
      <m:oMath>
        <m:sSub>
          <m:e>
            <m:r>
              <m:t>s</m:t>
            </m:r>
          </m:e>
          <m:sub>
            <m:r>
              <m:t>i</m:t>
            </m:r>
            <m:r>
              <m:t>j</m:t>
            </m:r>
          </m:sub>
        </m:sSub>
      </m:oMath>
      <w:r>
        <w:rPr>
          <w:lang w:val="es-CO"/>
        </w:rPr>
        <w:t xml:space="preserve"> </w:t>
      </w:r>
      <w:r>
        <w:rPr>
          <w:lang w:val="es-CO"/>
        </w:rPr>
        <w:t xml:space="preserve">la nota. Los nombres de las columnas corresponden a las cuatro versiones descritas.</w:t>
      </w:r>
    </w:p>
    <w:p>
      <w:pPr>
        <w:pStyle w:val="TableCaption"/>
      </w:pPr>
      <w:r>
        <w:rPr>
          <w:lang w:val="es-CO"/>
        </w:rPr>
        <w:t xml:space="preserve">Matriz de decisión ponderada para la selección del RDBMS</w:t>
      </w:r>
    </w:p>
    <w:tbl>
      <w:tblPr>
        <w:tblStyle w:val="Table"/>
        <w:tblW w:type="auto" w:w="0"/>
        <w:tblLook w:firstRow="1" w:lastRow="0" w:firstColumn="0" w:lastColumn="0" w:noHBand="0" w:noVBand="0" w:val="0020"/>
        <w:tblCaption w:val="Matriz de decisión ponderada para la selección del RDBMS"/>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on"/>
        </w:trPr>
        <w:tc>
          <w:tcPr>
            <w:shd w:val="clear" w:fill="FBE5CC"/>
          </w:tcPr>
          <w:p>
            <w:pPr>
              <w:pStyle w:val="Compact"/>
            </w:pPr>
            <w:r>
              <w:rPr>
                <w:b/>
                <w:sz w:val="19"/>
                <w:lang w:val="es-CO"/>
              </w:rPr>
              <w:t xml:space="preserve">Criterio</w:t>
            </w:r>
          </w:p>
        </w:tc>
        <w:tc>
          <w:tcPr>
            <w:shd w:val="clear" w:fill="FBE5CC"/>
          </w:tcPr>
          <w:p>
            <w:pPr>
              <w:pStyle w:val="Compact"/>
            </w:pPr>
            <w:r>
              <w:rPr>
                <w:b/>
                <w:sz w:val="19"/>
                <w:lang w:val="es-CO"/>
              </w:rPr>
              <w:t xml:space="preserve">Peso (%)</w:t>
            </w:r>
          </w:p>
        </w:tc>
        <w:tc>
          <w:tcPr>
            <w:shd w:val="clear" w:fill="FBE5CC"/>
          </w:tcPr>
          <w:p>
            <w:pPr>
              <w:pStyle w:val="Compact"/>
            </w:pPr>
            <w:r>
              <w:rPr>
                <w:b/>
                <w:sz w:val="19"/>
                <w:lang w:val="es-CO"/>
              </w:rPr>
              <w:t xml:space="preserve">MySQL</w:t>
            </w:r>
          </w:p>
        </w:tc>
        <w:tc>
          <w:tcPr>
            <w:shd w:val="clear" w:fill="FBE5CC"/>
          </w:tcPr>
          <w:p>
            <w:pPr>
              <w:pStyle w:val="Compact"/>
            </w:pPr>
            <w:r>
              <w:rPr>
                <w:b/>
                <w:sz w:val="19"/>
                <w:lang w:val="es-CO"/>
              </w:rPr>
              <w:t xml:space="preserve">PostgreSQL</w:t>
            </w:r>
          </w:p>
        </w:tc>
        <w:tc>
          <w:tcPr>
            <w:shd w:val="clear" w:fill="FBE5CC"/>
          </w:tcPr>
          <w:p>
            <w:pPr>
              <w:pStyle w:val="Compact"/>
            </w:pPr>
            <w:r>
              <w:rPr>
                <w:b/>
                <w:sz w:val="19"/>
                <w:lang w:val="es-CO"/>
              </w:rPr>
              <w:t xml:space="preserve">Oracle</w:t>
            </w:r>
          </w:p>
        </w:tc>
        <w:tc>
          <w:tcPr>
            <w:shd w:val="clear" w:fill="FBE5CC"/>
          </w:tcPr>
          <w:p>
            <w:pPr>
              <w:pStyle w:val="Compact"/>
            </w:pPr>
            <w:r>
              <w:rPr>
                <w:b/>
                <w:sz w:val="19"/>
                <w:lang w:val="es-CO"/>
              </w:rPr>
              <w:t xml:space="preserve">MariaDB</w:t>
            </w:r>
          </w:p>
        </w:tc>
      </w:tr>
      <w:tr>
        <w:tc>
          <w:tcPr/>
          <w:p>
            <w:pPr>
              <w:pStyle w:val="Compact"/>
            </w:pPr>
            <w:r>
              <w:rPr>
                <w:sz w:val="19"/>
                <w:lang w:val="es-CO"/>
              </w:rPr>
              <w:t xml:space="preserve">Cumplimiento SQL y álgebra relacional</w:t>
            </w:r>
          </w:p>
        </w:tc>
        <w:tc>
          <w:tcPr/>
          <w:p>
            <w:pPr>
              <w:pStyle w:val="Compact"/>
            </w:pPr>
            <w:r>
              <w:rPr>
                <w:sz w:val="19"/>
                <w:lang w:val="es-CO"/>
              </w:rPr>
              <w:t xml:space="preserve">15</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Integridad referencial y transacciones</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r>
      <w:tr>
        <w:tc>
          <w:tcPr/>
          <w:p>
            <w:pPr>
              <w:pStyle w:val="Compact"/>
            </w:pPr>
            <w:r>
              <w:rPr>
                <w:sz w:val="19"/>
                <w:lang w:val="es-CO"/>
              </w:rPr>
              <w:t xml:space="preserve">Herramientas de modelado y administración</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3</w:t>
            </w:r>
          </w:p>
        </w:tc>
      </w:tr>
      <w:tr>
        <w:tc>
          <w:tcPr/>
          <w:p>
            <w:pPr>
              <w:pStyle w:val="Compact"/>
            </w:pPr>
            <w:r>
              <w:rPr>
                <w:sz w:val="19"/>
                <w:lang w:val="es-CO"/>
              </w:rPr>
              <w:t xml:space="preserve">Costo, licencia y límites</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3</w:t>
            </w:r>
          </w:p>
        </w:tc>
        <w:tc>
          <w:tcPr/>
          <w:p>
            <w:pPr>
              <w:pStyle w:val="Compact"/>
            </w:pPr>
            <w:r>
              <w:rPr>
                <w:sz w:val="19"/>
                <w:lang w:val="es-CO"/>
              </w:rPr>
              <w:t xml:space="preserve">5</w:t>
            </w:r>
          </w:p>
        </w:tc>
      </w:tr>
      <w:tr>
        <w:tc>
          <w:tcPr/>
          <w:p>
            <w:pPr>
              <w:pStyle w:val="Compact"/>
            </w:pPr>
            <w:r>
              <w:rPr>
                <w:sz w:val="19"/>
                <w:lang w:val="es-CO"/>
              </w:rPr>
              <w:t xml:space="preserve">Instalación y mantenimiento en Oracle Linux 9</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3</w:t>
            </w:r>
          </w:p>
        </w:tc>
        <w:tc>
          <w:tcPr/>
          <w:p>
            <w:pPr>
              <w:pStyle w:val="Compact"/>
            </w:pPr>
            <w:r>
              <w:rPr>
                <w:sz w:val="19"/>
                <w:lang w:val="es-CO"/>
              </w:rPr>
              <w:t xml:space="preserve">4</w:t>
            </w:r>
          </w:p>
        </w:tc>
      </w:tr>
      <w:tr>
        <w:tc>
          <w:tcPr/>
          <w:p>
            <w:pPr>
              <w:pStyle w:val="Compact"/>
            </w:pPr>
            <w:r>
              <w:rPr>
                <w:sz w:val="19"/>
                <w:lang w:val="es-CO"/>
              </w:rPr>
              <w:t xml:space="preserve">Recursos y operación en la VM</w:t>
            </w:r>
          </w:p>
        </w:tc>
        <w:tc>
          <w:tcPr/>
          <w:p>
            <w:pPr>
              <w:pStyle w:val="Compact"/>
            </w:pPr>
            <w:r>
              <w:rPr>
                <w:sz w:val="19"/>
                <w:lang w:val="es-CO"/>
              </w:rPr>
              <w:t xml:space="preserve">10</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3</w:t>
            </w:r>
          </w:p>
        </w:tc>
        <w:tc>
          <w:tcPr/>
          <w:p>
            <w:pPr>
              <w:pStyle w:val="Compact"/>
            </w:pPr>
            <w:r>
              <w:rPr>
                <w:sz w:val="19"/>
                <w:lang w:val="es-CO"/>
              </w:rPr>
              <w:t xml:space="preserve">4</w:t>
            </w:r>
          </w:p>
        </w:tc>
      </w:tr>
      <w:tr>
        <w:tc>
          <w:tcPr/>
          <w:p>
            <w:pPr>
              <w:pStyle w:val="Compact"/>
            </w:pPr>
            <w:r>
              <w:rPr>
                <w:sz w:val="19"/>
                <w:lang w:val="es-CO"/>
              </w:rPr>
              <w:t xml:space="preserve">Conectividad desde Java (JDBC)</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r>
      <w:tr>
        <w:tc>
          <w:tcPr/>
          <w:p>
            <w:pPr>
              <w:pStyle w:val="Compact"/>
            </w:pPr>
            <w:r>
              <w:rPr>
                <w:sz w:val="19"/>
                <w:lang w:val="es-CO"/>
              </w:rPr>
              <w:t xml:space="preserve">Familiaridad del equipo</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3</w:t>
            </w:r>
          </w:p>
        </w:tc>
        <w:tc>
          <w:tcPr/>
          <w:p>
            <w:pPr>
              <w:pStyle w:val="Compact"/>
            </w:pPr>
            <w:r>
              <w:rPr>
                <w:sz w:val="19"/>
                <w:lang w:val="es-CO"/>
              </w:rPr>
              <w:t xml:space="preserve">4</w:t>
            </w:r>
          </w:p>
        </w:tc>
        <w:tc>
          <w:tcPr/>
          <w:p>
            <w:pPr>
              <w:pStyle w:val="Compact"/>
            </w:pPr>
            <w:r>
              <w:rPr>
                <w:sz w:val="19"/>
                <w:lang w:val="es-CO"/>
              </w:rPr>
              <w:t xml:space="preserve">3</w:t>
            </w:r>
          </w:p>
        </w:tc>
      </w:tr>
      <w:tr>
        <w:tc>
          <w:tcPr/>
          <w:p>
            <w:pPr>
              <w:pStyle w:val="Compact"/>
            </w:pPr>
            <w:r>
              <w:rPr>
                <w:sz w:val="19"/>
                <w:lang w:val="es-CO"/>
              </w:rPr>
              <w:t xml:space="preserve">Comunidad y documentación</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Total ponderado</w:t>
            </w:r>
          </w:p>
        </w:tc>
        <w:tc>
          <w:tcPr/>
          <w:p>
            <w:pPr>
              <w:pStyle w:val="Compact"/>
            </w:pPr>
            <w:r>
              <w:rPr>
                <w:sz w:val="19"/>
                <w:lang w:val="es-CO"/>
              </w:rPr>
              <w:t xml:space="preserve">100</w:t>
            </w:r>
          </w:p>
        </w:tc>
        <w:tc>
          <w:tcPr/>
          <w:p>
            <w:pPr>
              <w:pStyle w:val="Compact"/>
            </w:pPr>
            <w:r>
              <w:rPr>
                <w:sz w:val="19"/>
                <w:lang w:val="es-CO"/>
              </w:rPr>
              <w:t xml:space="preserve">4,75</w:t>
            </w:r>
          </w:p>
        </w:tc>
        <w:tc>
          <w:tcPr/>
          <w:p>
            <w:pPr>
              <w:pStyle w:val="Compact"/>
            </w:pPr>
            <w:r>
              <w:rPr>
                <w:sz w:val="19"/>
                <w:lang w:val="es-CO"/>
              </w:rPr>
              <w:t xml:space="preserve">4,40</w:t>
            </w:r>
          </w:p>
        </w:tc>
        <w:tc>
          <w:tcPr/>
          <w:p>
            <w:pPr>
              <w:pStyle w:val="Compact"/>
            </w:pPr>
            <w:r>
              <w:rPr>
                <w:sz w:val="19"/>
                <w:lang w:val="es-CO"/>
              </w:rPr>
              <w:t xml:space="preserve">4,20</w:t>
            </w:r>
          </w:p>
        </w:tc>
        <w:tc>
          <w:tcPr/>
          <w:p>
            <w:pPr>
              <w:pStyle w:val="Compact"/>
            </w:pPr>
            <w:r>
              <w:rPr>
                <w:sz w:val="19"/>
                <w:lang w:val="es-CO"/>
              </w:rPr>
              <w:t xml:space="preserve">4,05</w:t>
            </w:r>
          </w:p>
        </w:tc>
      </w:tr>
    </w:tbl>
    <w:p>
      <w:pPr>
        <w:pStyle w:val="Heading1"/>
      </w:pPr>
      <w:bookmarkStart w:id="29" w:name="_68a9b12da4c5744d933523ce580dd23ca4900a6"/>
      <w:r>
        <w:rPr>
          <w:rStyle w:val="SectionNumber"/>
          <w:lang w:val="es-CO"/>
        </w:rPr>
        <w:t xml:space="preserve">5</w:t>
      </w:r>
      <w:r>
        <w:tab/>
      </w:r>
      <w:r>
        <w:rPr>
          <w:lang w:val="es-CO"/>
        </w:rPr>
        <w:t xml:space="preserve">Resultado y justificación</w:t>
      </w:r>
      <w:bookmarkEnd w:id="29"/>
    </w:p>
    <w:p>
      <w:pPr>
        <w:pStyle w:val="FirstParagraph"/>
      </w:pPr>
      <w:r>
        <w:rPr>
          <w:lang w:val="es-CO"/>
        </w:rPr>
        <w:t xml:space="preserve">Alternativa seleccionada:</w:t>
      </w:r>
      <w:r>
        <w:rPr>
          <w:lang w:val="es-CO"/>
        </w:rPr>
        <w:t xml:space="preserve"> </w:t>
      </w:r>
      <w:r>
        <w:rPr>
          <w:b/>
          <w:bCs/>
          <w:lang w:val="es-CO"/>
        </w:rPr>
        <w:t xml:space="preserve">MySQL</w:t>
      </w:r>
      <w:r>
        <w:rPr>
          <w:lang w:val="es-CO"/>
        </w:rPr>
        <w:t xml:space="preserve"> </w:t>
      </w:r>
      <w:r>
        <w:rPr>
          <w:lang w:val="es-CO"/>
        </w:rPr>
        <w:t xml:space="preserve">— MySQL 8.4 LTS Community Edition.</w:t>
      </w:r>
    </w:p>
    <w:p>
      <w:pPr>
        <w:pStyle w:val="BodyText"/>
      </w:pPr>
      <w:r>
        <w:rPr>
          <w:lang w:val="es-CO"/>
        </w:rPr>
        <w:t xml:space="preserve">MySQL obtiene</w:t>
      </w:r>
      <w:r>
        <w:rPr>
          <w:lang w:val="es-CO"/>
        </w:rPr>
        <w:t xml:space="preserve"> </w:t>
      </w:r>
      <w:r>
        <w:rPr>
          <w:b/>
          <w:bCs/>
          <w:lang w:val="es-CO"/>
        </w:rPr>
        <w:t xml:space="preserve">4,75 sobre 5</w:t>
      </w:r>
      <w:r>
        <w:rPr>
          <w:lang w:val="es-CO"/>
        </w:rPr>
        <w:t xml:space="preserve">. El cálculo es</w:t>
      </w:r>
      <w:r>
        <w:rPr>
          <w:lang w:val="es-CO"/>
        </w:rPr>
        <w:t xml:space="preserve"> </w:t>
      </w:r>
      <m:oMath>
        <m:r>
          <m:rPr>
            <m:sty m:val="p"/>
          </m:rPr>
          <m:t>(</m:t>
        </m:r>
        <m:r>
          <m:t>15</m:t>
        </m:r>
        <m:r>
          <m:rPr>
            <m:sty m:val="p"/>
          </m:rPr>
          <m:t>×</m:t>
        </m:r>
        <m:r>
          <m:t>4</m:t>
        </m:r>
        <m:r>
          <m:rPr>
            <m:sty m:val="p"/>
          </m:rPr>
          <m:t>+</m:t>
        </m:r>
        <m:r>
          <m:t>15</m:t>
        </m:r>
        <m:r>
          <m:rPr>
            <m:sty m:val="p"/>
          </m:rPr>
          <m:t>×</m:t>
        </m:r>
        <m:r>
          <m:t>5</m:t>
        </m:r>
        <m:r>
          <m:rPr>
            <m:sty m:val="p"/>
          </m:rPr>
          <m:t>+</m:t>
        </m:r>
        <m:r>
          <m:t>15</m:t>
        </m:r>
        <m:r>
          <m:rPr>
            <m:sty m:val="p"/>
          </m:rPr>
          <m:t>×</m:t>
        </m:r>
        <m:r>
          <m:t>5</m:t>
        </m:r>
        <m:r>
          <m:rPr>
            <m:sty m:val="p"/>
          </m:rPr>
          <m:t>+</m:t>
        </m:r>
        <m:r>
          <m:t>10</m:t>
        </m:r>
        <m:r>
          <m:rPr>
            <m:sty m:val="p"/>
          </m:rPr>
          <m:t>×</m:t>
        </m:r>
        <m:r>
          <m:t>5</m:t>
        </m:r>
        <m:r>
          <m:rPr>
            <m:sty m:val="p"/>
          </m:rPr>
          <m:t>+</m:t>
        </m:r>
        <m:r>
          <m:t>15</m:t>
        </m:r>
        <m:r>
          <m:rPr>
            <m:sty m:val="p"/>
          </m:rPr>
          <m:t>×</m:t>
        </m:r>
        <m:r>
          <m:t>5</m:t>
        </m:r>
        <m:r>
          <m:rPr>
            <m:sty m:val="p"/>
          </m:rPr>
          <m:t>+</m:t>
        </m:r>
        <m:r>
          <m:t>10</m:t>
        </m:r>
        <m:r>
          <m:rPr>
            <m:sty m:val="p"/>
          </m:rPr>
          <m:t>×</m:t>
        </m:r>
        <m:r>
          <m:t>4</m:t>
        </m:r>
        <m:r>
          <m:rPr>
            <m:sty m:val="p"/>
          </m:rPr>
          <m:t>+</m:t>
        </m:r>
        <m:r>
          <m:t>5</m:t>
        </m:r>
        <m:r>
          <m:rPr>
            <m:sty m:val="p"/>
          </m:rPr>
          <m:t>×</m:t>
        </m:r>
        <m:r>
          <m:t>5</m:t>
        </m:r>
        <m:r>
          <m:rPr>
            <m:sty m:val="p"/>
          </m:rPr>
          <m:t>+</m:t>
        </m:r>
        <m:r>
          <m:t>10</m:t>
        </m:r>
        <m:r>
          <m:rPr>
            <m:sty m:val="p"/>
          </m:rPr>
          <m:t>×</m:t>
        </m:r>
        <m:r>
          <m:t>5</m:t>
        </m:r>
        <m:r>
          <m:rPr>
            <m:sty m:val="p"/>
          </m:rPr>
          <m:t>+</m:t>
        </m:r>
        <m:r>
          <m:t>5</m:t>
        </m:r>
        <m:r>
          <m:rPr>
            <m:sty m:val="p"/>
          </m:rPr>
          <m:t>×</m:t>
        </m:r>
        <m:r>
          <m:t>5</m:t>
        </m:r>
        <m:r>
          <m:rPr>
            <m:sty m:val="p"/>
          </m:rPr>
          <m:t>)</m:t>
        </m:r>
        <m:r>
          <m:rPr>
            <m:sty m:val="p"/>
          </m:rPr>
          <m:t>/</m:t>
        </m:r>
        <m:r>
          <m:t>100</m:t>
        </m:r>
        <m:r>
          <m:rPr>
            <m:sty m:val="p"/>
          </m:rPr>
          <m:t>=</m:t>
        </m:r>
        <m:r>
          <m:t>4</m:t>
        </m:r>
        <m:r>
          <m:rPr>
            <m:sty m:val="p"/>
          </m:rPr>
          <m:t>,</m:t>
        </m:r>
        <m:r>
          <m:t>75</m:t>
        </m:r>
      </m:oMath>
      <w:r>
        <w:rPr>
          <w:lang w:val="es-CO"/>
        </w:rPr>
        <w:t xml:space="preserve">. Le siguen PostgreSQL con 4,40, Oracle con 4,20 y MariaDB con 4,05.</w:t>
      </w:r>
    </w:p>
    <w:p>
      <w:pPr>
        <w:pStyle w:val="BodyText"/>
      </w:pPr>
      <w:r>
        <w:rPr>
          <w:lang w:val="es-CO"/>
        </w:rPr>
        <w:t xml:space="preserve">La ventaja resulta de la instalación directa en AppStream, Workbench como herramienta admitida y conocida, la licencia sin límites de edición equivalentes a Oracle Free y el ajuste a Java con Connector/J. La base de 1,08 MB y la carga completa en 1–2 s respaldan la viabilidad de la implementación académica; no constituyen una comparación de rendimiento entre motores. Las evidencias están en los registros de instalación, carga y verificación de</w:t>
      </w:r>
      <w:r>
        <w:rPr>
          <w:lang w:val="es-CO"/>
        </w:rPr>
        <w:t xml:space="preserve"> </w:t>
      </w:r>
      <w:r>
        <w:rPr>
          <w:rStyle w:val="VerbatimChar"/>
          <w:lang w:val="es-CO"/>
        </w:rPr>
        <w:t xml:space="preserve">vm/logs/</w:t>
      </w:r>
      <w:r>
        <w:rPr>
          <w:lang w:val="es-CO"/>
        </w:rPr>
        <w:t xml:space="preserve">.</w:t>
      </w:r>
    </w:p>
    <w:p>
      <w:pPr>
        <w:pStyle w:val="BodyText"/>
      </w:pPr>
      <w:r>
        <w:rPr>
          <w:lang w:val="es-CO"/>
        </w:rPr>
        <w:t xml:space="preserve">La elección depende del contexto. Si se trasladan 10 puntos de modelado y 5 de familiaridad al criterio SQL, MySQL y PostgreSQL empatan en 4,60. PostgreSQL sería especialmente competitivo si se priorizara expresividad SQL. MySQL gana con los pesos adoptados por sus ventajas prácticas para este equipo, aceptando adaptaciones concretas del dialecto.</w:t>
      </w:r>
    </w:p>
    <w:p>
      <w:pPr>
        <w:pStyle w:val="Heading1"/>
      </w:pPr>
      <w:bookmarkStart w:id="30" w:name="_603461fe1365725dceec8cd13f796afeb724e29"/>
      <w:r>
        <w:rPr>
          <w:rStyle w:val="SectionNumber"/>
          <w:lang w:val="es-CO"/>
        </w:rPr>
        <w:t xml:space="preserve">6</w:t>
      </w:r>
      <w:r>
        <w:tab/>
      </w:r>
      <w:r>
        <w:rPr>
          <w:lang w:val="es-CO"/>
        </w:rPr>
        <w:t xml:space="preserve">Riesgos y mitigaciones</w:t>
      </w:r>
      <w:bookmarkEnd w:id="30"/>
    </w:p>
    <w:p>
      <w:pPr>
        <w:pStyle w:val="TableCaption"/>
      </w:pPr>
      <w:r>
        <w:rPr>
          <w:lang w:val="es-CO"/>
        </w:rPr>
        <w:t xml:space="preserve">Riesgos de la selección de MySQL y medidas de mitigación</w:t>
      </w:r>
    </w:p>
    <w:tbl>
      <w:tblPr>
        <w:tblStyle w:val="Table"/>
        <w:tblW w:type="pct" w:w="5000"/>
        <w:tblLayout w:type="fixed"/>
        <w:tblLook w:firstRow="1" w:lastRow="0" w:firstColumn="0" w:lastColumn="0" w:noHBand="0" w:noVBand="0" w:val="0020"/>
        <w:tblCaption w:val="Riesgos de la selección de MySQL y medidas de mitig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Riesgo o limitación</w:t>
            </w:r>
          </w:p>
        </w:tc>
        <w:tc>
          <w:tcPr>
            <w:shd w:val="clear" w:fill="FBE5CC"/>
          </w:tcPr>
          <w:p>
            <w:pPr>
              <w:pStyle w:val="Compact"/>
            </w:pPr>
            <w:r>
              <w:rPr>
                <w:b/>
                <w:sz w:val="19"/>
                <w:lang w:val="es-CO"/>
              </w:rPr>
              <w:t xml:space="preserve">Mitigación aplicada o prevista</w:t>
            </w:r>
          </w:p>
        </w:tc>
      </w:tr>
      <w:tr>
        <w:tc>
          <w:tcPr/>
          <w:p>
            <w:pPr>
              <w:pStyle w:val="Compact"/>
            </w:pPr>
            <w:r>
              <w:rPr>
                <w:sz w:val="19"/>
                <w:lang w:val="es-CO"/>
              </w:rPr>
              <w:t xml:space="preserve">No hay</w:t>
            </w:r>
            <w:r>
              <w:rPr>
                <w:sz w:val="19"/>
                <w:lang w:val="es-CO"/>
              </w:rPr>
              <w:t xml:space="preserve"> </w:t>
            </w:r>
            <w:r>
              <w:rPr>
                <w:rStyle w:val="VerbatimChar"/>
                <w:sz w:val="19"/>
                <w:lang w:val="es-CO"/>
              </w:rPr>
              <w:t xml:space="preserve">FULL OUTER JOIN</w:t>
            </w:r>
            <w:r>
              <w:rPr>
                <w:sz w:val="19"/>
                <w:lang w:val="es-CO"/>
              </w:rPr>
              <w:t xml:space="preserve"> </w:t>
            </w:r>
            <w:r>
              <w:rPr>
                <w:sz w:val="19"/>
                <w:lang w:val="es-CO"/>
              </w:rPr>
              <w:t xml:space="preserve">nativo</w:t>
            </w:r>
          </w:p>
        </w:tc>
        <w:tc>
          <w:tcPr/>
          <w:p>
            <w:pPr>
              <w:pStyle w:val="Compact"/>
            </w:pPr>
            <w:r>
              <w:rPr>
                <w:sz w:val="19"/>
                <w:lang w:val="es-CO"/>
              </w:rPr>
              <w:t xml:space="preserve">El ejercicio 29 combina</w:t>
            </w:r>
            <w:r>
              <w:rPr>
                <w:sz w:val="19"/>
                <w:lang w:val="es-CO"/>
              </w:rPr>
              <w:t xml:space="preserve"> </w:t>
            </w:r>
            <w:r>
              <w:rPr>
                <w:rStyle w:val="VerbatimChar"/>
                <w:sz w:val="19"/>
                <w:lang w:val="es-CO"/>
              </w:rPr>
              <w:t xml:space="preserve">LEFT JOIN</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RIGHT JOIN</w:t>
            </w:r>
            <w:r>
              <w:rPr>
                <w:sz w:val="19"/>
                <w:lang w:val="es-CO"/>
              </w:rPr>
              <w:t xml:space="preserve"> </w:t>
            </w:r>
            <w:r>
              <w:rPr>
                <w:sz w:val="19"/>
                <w:lang w:val="es-CO"/>
              </w:rPr>
              <w:t xml:space="preserve">con</w:t>
            </w:r>
            <w:r>
              <w:rPr>
                <w:sz w:val="19"/>
                <w:lang w:val="es-CO"/>
              </w:rPr>
              <w:t xml:space="preserve"> </w:t>
            </w:r>
            <w:r>
              <w:rPr>
                <w:rStyle w:val="VerbatimChar"/>
                <w:sz w:val="19"/>
                <w:lang w:val="es-CO"/>
              </w:rPr>
              <w:t xml:space="preserve">UNION</w:t>
            </w:r>
            <w:r>
              <w:rPr>
                <w:sz w:val="19"/>
                <w:lang w:val="es-CO"/>
              </w:rPr>
              <w:t xml:space="preserve"> </w:t>
            </w:r>
            <w:r>
              <w:rPr>
                <w:sz w:val="19"/>
                <w:lang w:val="es-CO"/>
              </w:rPr>
              <w:t xml:space="preserve">para representar la reunión externa completa del inventario</w:t>
            </w:r>
          </w:p>
        </w:tc>
      </w:tr>
      <w:tr>
        <w:tc>
          <w:tcPr/>
          <w:p>
            <w:pPr>
              <w:pStyle w:val="Compact"/>
            </w:pPr>
            <w:r>
              <w:rPr>
                <w:sz w:val="19"/>
                <w:lang w:val="es-CO"/>
              </w:rPr>
              <w:t xml:space="preserve">Un disparador cubre un solo evento</w:t>
            </w:r>
          </w:p>
        </w:tc>
        <w:tc>
          <w:tcPr/>
          <w:p>
            <w:pPr>
              <w:pStyle w:val="Compact"/>
            </w:pPr>
            <w:r>
              <w:rPr>
                <w:sz w:val="19"/>
                <w:lang w:val="es-CO"/>
              </w:rPr>
              <w:t xml:space="preserve">Las reglas compartidas se concentran en procedimientos llamados por los disparadores de</w:t>
            </w:r>
            <w:r>
              <w:rPr>
                <w:sz w:val="19"/>
                <w:lang w:val="es-CO"/>
              </w:rPr>
              <w:t xml:space="preserve"> </w:t>
            </w:r>
            <w:r>
              <w:rPr>
                <w:rStyle w:val="VerbatimChar"/>
                <w:sz w:val="19"/>
                <w:lang w:val="es-CO"/>
              </w:rPr>
              <w:t xml:space="preserve">INSERT</w:t>
            </w:r>
            <w:r>
              <w:rPr>
                <w:sz w:val="19"/>
                <w:lang w:val="es-CO"/>
              </w:rPr>
              <w:t xml:space="preserve"> </w:t>
            </w:r>
            <w:r>
              <w:rPr>
                <w:sz w:val="19"/>
                <w:lang w:val="es-CO"/>
              </w:rPr>
              <w:t xml:space="preserve">y de</w:t>
            </w:r>
            <w:r>
              <w:rPr>
                <w:sz w:val="19"/>
                <w:lang w:val="es-CO"/>
              </w:rPr>
              <w:t xml:space="preserve"> </w:t>
            </w:r>
            <w:r>
              <w:rPr>
                <w:rStyle w:val="VerbatimChar"/>
                <w:sz w:val="19"/>
                <w:lang w:val="es-CO"/>
              </w:rPr>
              <w:t xml:space="preserve">UPDATE</w:t>
            </w:r>
            <w:r>
              <w:rPr>
                <w:sz w:val="19"/>
                <w:lang w:val="es-CO"/>
              </w:rPr>
              <w:t xml:space="preserve">;</w:t>
            </w:r>
            <w:r>
              <w:rPr>
                <w:sz w:val="19"/>
                <w:lang w:val="es-CO"/>
              </w:rPr>
              <w:t xml:space="preserve"> </w:t>
            </w:r>
            <w:r>
              <w:rPr>
                <w:rStyle w:val="VerbatimChar"/>
                <w:sz w:val="19"/>
                <w:lang w:val="es-CO"/>
              </w:rPr>
              <w:t xml:space="preserve">SIGNAL</w:t>
            </w:r>
            <w:r>
              <w:rPr>
                <w:sz w:val="19"/>
                <w:lang w:val="es-CO"/>
              </w:rPr>
              <w:t xml:space="preserve"> </w:t>
            </w:r>
            <w:r>
              <w:rPr>
                <w:sz w:val="19"/>
                <w:lang w:val="es-CO"/>
              </w:rPr>
              <w:t xml:space="preserve">comunica el incumplimiento</w:t>
            </w:r>
          </w:p>
        </w:tc>
      </w:tr>
      <w:tr>
        <w:tc>
          <w:tcPr/>
          <w:p>
            <w:pPr>
              <w:pStyle w:val="Compact"/>
            </w:pPr>
            <w:r>
              <w:rPr>
                <w:sz w:val="19"/>
                <w:lang w:val="es-CO"/>
              </w:rPr>
              <w:t xml:space="preserve">Nombres de tabla sensibles a mayúsculas en Linux</w:t>
            </w:r>
          </w:p>
        </w:tc>
        <w:tc>
          <w:tcPr/>
          <w:p>
            <w:pPr>
              <w:pStyle w:val="Compact"/>
            </w:pPr>
            <w:r>
              <w:rPr>
                <w:sz w:val="19"/>
                <w:lang w:val="es-CO"/>
              </w:rPr>
              <w:t xml:space="preserve">Respetar los nombres de los scripts, como</w:t>
            </w:r>
            <w:r>
              <w:rPr>
                <w:sz w:val="19"/>
                <w:lang w:val="es-CO"/>
              </w:rPr>
              <w:t xml:space="preserve"> </w:t>
            </w:r>
            <w:r>
              <w:rPr>
                <w:rStyle w:val="VerbatimChar"/>
                <w:sz w:val="19"/>
                <w:lang w:val="es-CO"/>
              </w:rPr>
              <w:t xml:space="preserve">MASCOTA</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CITA</w:t>
            </w:r>
            <w:r>
              <w:rPr>
                <w:sz w:val="19"/>
                <w:lang w:val="es-CO"/>
              </w:rPr>
              <w:t xml:space="preserve">, también desde Workbench y Java</w:t>
            </w:r>
          </w:p>
        </w:tc>
      </w:tr>
      <w:tr>
        <w:tc>
          <w:tcPr/>
          <w:p>
            <w:pPr>
              <w:pStyle w:val="Compact"/>
            </w:pPr>
            <w:r>
              <w:rPr>
                <w:sz w:val="19"/>
                <w:lang w:val="es-CO"/>
              </w:rPr>
              <w:t xml:space="preserve">Workbench no analiza</w:t>
            </w:r>
            <w:r>
              <w:rPr>
                <w:sz w:val="19"/>
                <w:lang w:val="es-CO"/>
              </w:rPr>
              <w:t xml:space="preserve"> </w:t>
            </w:r>
            <w:r>
              <w:rPr>
                <w:rStyle w:val="VerbatimChar"/>
                <w:sz w:val="19"/>
                <w:lang w:val="es-CO"/>
              </w:rPr>
              <w:t xml:space="preserve">DEFAULT (CURRENT_DATE)</w:t>
            </w:r>
            <w:r>
              <w:rPr>
                <w:sz w:val="19"/>
                <w:lang w:val="es-CO"/>
              </w:rPr>
              <w:t xml:space="preserve"> </w:t>
            </w:r>
            <w:r>
              <w:rPr>
                <w:sz w:val="19"/>
                <w:lang w:val="es-CO"/>
              </w:rPr>
              <w:t xml:space="preserve">en el flujo usado</w:t>
            </w:r>
          </w:p>
        </w:tc>
        <w:tc>
          <w:tcPr/>
          <w:p>
            <w:pPr>
              <w:pStyle w:val="Compact"/>
            </w:pPr>
            <w:r>
              <w:rPr>
                <w:sz w:val="19"/>
                <w:lang w:val="es-CO"/>
              </w:rPr>
              <w:t xml:space="preserve">Las fechas de registro se definieron como</w:t>
            </w:r>
            <w:r>
              <w:rPr>
                <w:sz w:val="19"/>
                <w:lang w:val="es-CO"/>
              </w:rPr>
              <w:t xml:space="preserve"> </w:t>
            </w:r>
            <w:r>
              <w:rPr>
                <w:rStyle w:val="VerbatimChar"/>
                <w:sz w:val="19"/>
                <w:lang w:val="es-CO"/>
              </w:rPr>
              <w:t xml:space="preserve">DATETIME DEFAULT CURRENT_TIMESTAMP</w:t>
            </w:r>
            <w:r>
              <w:rPr>
                <w:sz w:val="19"/>
                <w:lang w:val="es-CO"/>
              </w:rPr>
              <w:t xml:space="preserve">; se comprueba el DDL en el servidor</w:t>
            </w:r>
          </w:p>
        </w:tc>
      </w:tr>
      <w:tr>
        <w:tc>
          <w:tcPr/>
          <w:p>
            <w:pPr>
              <w:pStyle w:val="Compact"/>
            </w:pPr>
            <w:r>
              <w:rPr>
                <w:sz w:val="19"/>
                <w:lang w:val="es-CO"/>
              </w:rPr>
              <w:t xml:space="preserve">Acceso remoto y permisos excesivos</w:t>
            </w:r>
          </w:p>
        </w:tc>
        <w:tc>
          <w:tcPr/>
          <w:p>
            <w:pPr>
              <w:pStyle w:val="Compact"/>
            </w:pPr>
            <w:r>
              <w:rPr>
                <w:sz w:val="19"/>
                <w:lang w:val="es-CO"/>
              </w:rPr>
              <w:t xml:space="preserve">Reservar</w:t>
            </w:r>
            <w:r>
              <w:rPr>
                <w:sz w:val="19"/>
                <w:lang w:val="es-CO"/>
              </w:rPr>
              <w:t xml:space="preserve"> </w:t>
            </w:r>
            <w:r>
              <w:rPr>
                <w:rStyle w:val="VerbatimChar"/>
                <w:sz w:val="19"/>
                <w:lang w:val="es-CO"/>
              </w:rPr>
              <w:t xml:space="preserve">vetdb</w:t>
            </w:r>
            <w:r>
              <w:rPr>
                <w:sz w:val="19"/>
                <w:lang w:val="es-CO"/>
              </w:rPr>
              <w:t xml:space="preserve"> </w:t>
            </w:r>
            <w:r>
              <w:rPr>
                <w:sz w:val="19"/>
                <w:lang w:val="es-CO"/>
              </w:rPr>
              <w:t xml:space="preserve">para administración; usar</w:t>
            </w:r>
            <w:r>
              <w:rPr>
                <w:sz w:val="19"/>
                <w:lang w:val="es-CO"/>
              </w:rPr>
              <w:t xml:space="preserve"> </w:t>
            </w:r>
            <w:r>
              <w:rPr>
                <w:rStyle w:val="VerbatimChar"/>
                <w:sz w:val="19"/>
                <w:lang w:val="es-CO"/>
              </w:rPr>
              <w:t xml:space="preserve">vet_app</w:t>
            </w:r>
            <w:r>
              <w:rPr>
                <w:sz w:val="19"/>
                <w:lang w:val="es-CO"/>
              </w:rPr>
              <w:t xml:space="preserve"> </w:t>
            </w:r>
            <w:r>
              <w:rPr>
                <w:sz w:val="19"/>
                <w:lang w:val="es-CO"/>
              </w:rPr>
              <w:t xml:space="preserve">con lectura, guardar claves en</w:t>
            </w:r>
            <w:r>
              <w:rPr>
                <w:sz w:val="19"/>
                <w:lang w:val="es-CO"/>
              </w:rPr>
              <w:t xml:space="preserve"> </w:t>
            </w:r>
            <w:r>
              <w:rPr>
                <w:rStyle w:val="VerbatimChar"/>
                <w:sz w:val="19"/>
                <w:lang w:val="es-CO"/>
              </w:rPr>
              <w:t xml:space="preserve">vm/claves.env</w:t>
            </w:r>
            <w:r>
              <w:rPr>
                <w:sz w:val="19"/>
                <w:lang w:val="es-CO"/>
              </w:rPr>
              <w:t xml:space="preserve"> </w:t>
            </w:r>
            <w:r>
              <w:rPr>
                <w:sz w:val="19"/>
                <w:lang w:val="es-CO"/>
              </w:rPr>
              <w:t xml:space="preserve">y limitar el acceso de red al entorno del proyecto</w:t>
            </w:r>
          </w:p>
        </w:tc>
      </w:tr>
      <w:tr>
        <w:tc>
          <w:tcPr/>
          <w:p>
            <w:pPr>
              <w:pStyle w:val="Compact"/>
            </w:pPr>
            <w:r>
              <w:rPr>
                <w:sz w:val="19"/>
                <w:lang w:val="es-CO"/>
              </w:rPr>
              <w:t xml:space="preserve">Cambios de paquetes o diferencias entre hipervisores</w:t>
            </w:r>
          </w:p>
        </w:tc>
        <w:tc>
          <w:tcPr/>
          <w:p>
            <w:pPr>
              <w:pStyle w:val="Compact"/>
            </w:pPr>
            <w:r>
              <w:rPr>
                <w:sz w:val="19"/>
                <w:lang w:val="es-CO"/>
              </w:rPr>
              <w:t xml:space="preserve">Mantener la rama</w:t>
            </w:r>
            <w:r>
              <w:rPr>
                <w:sz w:val="19"/>
                <w:lang w:val="es-CO"/>
              </w:rPr>
              <w:t xml:space="preserve"> </w:t>
            </w:r>
            <w:r>
              <w:rPr>
                <w:rStyle w:val="VerbatimChar"/>
                <w:sz w:val="19"/>
                <w:lang w:val="es-CO"/>
              </w:rPr>
              <w:t xml:space="preserve">mysql:8.4</w:t>
            </w:r>
            <w:r>
              <w:rPr>
                <w:sz w:val="19"/>
                <w:lang w:val="es-CO"/>
              </w:rPr>
              <w:t xml:space="preserve">, registrar paquetes instalados y repetir la carga y las pruebas en VirtualBox y Lima</w:t>
            </w:r>
          </w:p>
        </w:tc>
      </w:tr>
      <w:tr>
        <w:tc>
          <w:tcPr/>
          <w:p>
            <w:pPr>
              <w:pStyle w:val="Compact"/>
            </w:pPr>
            <w:r>
              <w:rPr>
                <w:sz w:val="19"/>
                <w:lang w:val="es-CO"/>
              </w:rPr>
              <w:t xml:space="preserve">Pérdida de datos o dependencia del dialecto</w:t>
            </w:r>
          </w:p>
        </w:tc>
        <w:tc>
          <w:tcPr/>
          <w:p>
            <w:pPr>
              <w:pStyle w:val="Compact"/>
            </w:pPr>
            <w:r>
              <w:rPr>
                <w:sz w:val="19"/>
                <w:lang w:val="es-CO"/>
              </w:rPr>
              <w:t xml:space="preserve">Conservar scripts y exportaciones fuera de la VM, probar reconstrucción y documentar las diferencias con la versión Oracle de respaldo</w:t>
            </w:r>
          </w:p>
        </w:tc>
      </w:tr>
    </w:tbl>
    <w:p>
      <w:pPr>
        <w:pStyle w:val="FirstParagraph"/>
      </w:pPr>
      <w:r>
        <w:rPr>
          <w:lang w:val="es-CO"/>
        </w:rPr>
        <w:t xml:space="preserve">La implementación registra 22 tablas, 6 vistas, 2 funciones, 3 procedimientos, 9 disparadores y 71 índices. Las 10 pruebas de reglas resultaron correctas; además,</w:t>
      </w:r>
      <w:r>
        <w:rPr>
          <w:lang w:val="es-CO"/>
        </w:rPr>
        <w:t xml:space="preserve"> </w:t>
      </w:r>
      <w:r>
        <w:rPr>
          <w:rStyle w:val="VerbatimChar"/>
          <w:lang w:val="es-CO"/>
        </w:rPr>
        <w:t xml:space="preserve">vet_app</w:t>
      </w:r>
      <w:r>
        <w:rPr>
          <w:lang w:val="es-CO"/>
        </w:rPr>
        <w:t xml:space="preserve"> </w:t>
      </w:r>
      <w:r>
        <w:rPr>
          <w:lang w:val="es-CO"/>
        </w:rPr>
        <w:t xml:space="preserve">puede consultar y recibe el error 1142 al intentar</w:t>
      </w:r>
      <w:r>
        <w:rPr>
          <w:lang w:val="es-CO"/>
        </w:rPr>
        <w:t xml:space="preserve"> </w:t>
      </w:r>
      <w:r>
        <w:rPr>
          <w:rStyle w:val="VerbatimChar"/>
          <w:lang w:val="es-CO"/>
        </w:rPr>
        <w:t xml:space="preserve">DELETE</w:t>
      </w:r>
      <w:r>
        <w:rPr>
          <w:lang w:val="es-CO"/>
        </w:rPr>
        <w:t xml:space="preserve">,</w:t>
      </w:r>
      <w:r>
        <w:rPr>
          <w:lang w:val="es-CO"/>
        </w:rPr>
        <w:t xml:space="preserve"> </w:t>
      </w:r>
      <w:r>
        <w:rPr>
          <w:rStyle w:val="VerbatimChar"/>
          <w:lang w:val="es-CO"/>
        </w:rPr>
        <w:t xml:space="preserve">UPDATE</w:t>
      </w:r>
      <w:r>
        <w:rPr>
          <w:lang w:val="es-CO"/>
        </w:rPr>
        <w:t xml:space="preserve">,</w:t>
      </w:r>
      <w:r>
        <w:rPr>
          <w:lang w:val="es-CO"/>
        </w:rPr>
        <w:t xml:space="preserve"> </w:t>
      </w:r>
      <w:r>
        <w:rPr>
          <w:rStyle w:val="VerbatimChar"/>
          <w:lang w:val="es-CO"/>
        </w:rPr>
        <w:t xml:space="preserve">INSERT</w:t>
      </w:r>
      <w:r>
        <w:rPr>
          <w:lang w:val="es-CO"/>
        </w:rPr>
        <w:t xml:space="preserve"> </w:t>
      </w:r>
      <w:r>
        <w:rPr>
          <w:lang w:val="es-CO"/>
        </w:rPr>
        <w:t xml:space="preserve">o</w:t>
      </w:r>
      <w:r>
        <w:rPr>
          <w:lang w:val="es-CO"/>
        </w:rPr>
        <w:t xml:space="preserve"> </w:t>
      </w:r>
      <w:r>
        <w:rPr>
          <w:rStyle w:val="VerbatimChar"/>
          <w:lang w:val="es-CO"/>
        </w:rPr>
        <w:t xml:space="preserve">DROP</w:t>
      </w:r>
      <w:r>
        <w:rPr>
          <w:lang w:val="es-CO"/>
        </w:rPr>
        <w:t xml:space="preserve">. Son resultados del ambiente probado, no una garantía de disponibilidad para una clínica en producción.</w:t>
      </w:r>
    </w:p>
    <w:p>
      <w:pPr>
        <w:pStyle w:val="Heading1"/>
      </w:pPr>
      <w:bookmarkStart w:id="31" w:name="_referencias"/>
      <w:r>
        <w:rPr>
          <w:rStyle w:val="SectionNumber"/>
          <w:lang w:val="es-CO"/>
        </w:rPr>
        <w:t xml:space="preserve">7</w:t>
      </w:r>
      <w:r>
        <w:tab/>
      </w:r>
      <w:r>
        <w:rPr>
          <w:lang w:val="es-CO"/>
        </w:rPr>
        <w:t xml:space="preserve">Referencias</w:t>
      </w:r>
      <w:bookmarkEnd w:id="31"/>
    </w:p>
    <w:p>
      <w:pPr>
        <w:pStyle w:val="Compact"/>
        <w:numPr>
          <w:ilvl w:val="0"/>
          <w:numId w:val="1001"/>
        </w:numPr>
      </w:pPr>
      <w:r>
        <w:rPr>
          <w:lang w:val="es-CO"/>
        </w:rPr>
        <w:t xml:space="preserve">MySQL.</w:t>
      </w:r>
      <w:r>
        <w:rPr>
          <w:lang w:val="es-CO"/>
        </w:rPr>
        <w:t xml:space="preserve"> </w:t>
      </w:r>
      <w:hyperlink r:id="rId32">
        <w:r>
          <w:rPr>
            <w:rStyle w:val="Hyperlink"/>
            <w:lang w:val="es-CO"/>
          </w:rPr>
          <w:t xml:space="preserve">Community Edition: licencia GPL, herramientas y conectores</w:t>
        </w:r>
      </w:hyperlink>
      <w:r>
        <w:rPr>
          <w:lang w:val="es-CO"/>
        </w:rPr>
        <w:t xml:space="preserve">.</w:t>
      </w:r>
    </w:p>
    <w:p>
      <w:pPr>
        <w:pStyle w:val="Compact"/>
        <w:numPr>
          <w:ilvl w:val="0"/>
          <w:numId w:val="1001"/>
        </w:numPr>
      </w:pPr>
      <w:r>
        <w:rPr>
          <w:lang w:val="es-CO"/>
        </w:rPr>
        <w:t xml:space="preserve">MySQL.</w:t>
      </w:r>
      <w:r>
        <w:rPr>
          <w:lang w:val="es-CO"/>
        </w:rPr>
        <w:t xml:space="preserve"> </w:t>
      </w:r>
      <w:hyperlink r:id="rId33">
        <w:r>
          <w:rPr>
            <w:rStyle w:val="Hyperlink"/>
            <w:lang w:val="es-CO"/>
          </w:rPr>
          <w:t xml:space="preserve">Workbench Community y ediciones</w:t>
        </w:r>
      </w:hyperlink>
      <w:r>
        <w:rPr>
          <w:lang w:val="es-CO"/>
        </w:rPr>
        <w:t xml:space="preserve"> </w:t>
      </w:r>
      <w:r>
        <w:rPr>
          <w:lang w:val="es-CO"/>
        </w:rPr>
        <w:t xml:space="preserve">y</w:t>
      </w:r>
      <w:r>
        <w:rPr>
          <w:lang w:val="es-CO"/>
        </w:rPr>
        <w:t xml:space="preserve"> </w:t>
      </w:r>
      <w:hyperlink r:id="rId34">
        <w:r>
          <w:rPr>
            <w:rStyle w:val="Hyperlink"/>
            <w:lang w:val="es-CO"/>
          </w:rPr>
          <w:t xml:space="preserve">relaciones EER en Crow’s Foot</w:t>
        </w:r>
      </w:hyperlink>
      <w:r>
        <w:rPr>
          <w:lang w:val="es-CO"/>
        </w:rPr>
        <w:t xml:space="preserve">.</w:t>
      </w:r>
    </w:p>
    <w:p>
      <w:pPr>
        <w:pStyle w:val="Compact"/>
        <w:numPr>
          <w:ilvl w:val="0"/>
          <w:numId w:val="1001"/>
        </w:numPr>
      </w:pPr>
      <w:r>
        <w:rPr>
          <w:lang w:val="es-CO"/>
        </w:rPr>
        <w:t xml:space="preserve">MySQL.</w:t>
      </w:r>
      <w:r>
        <w:rPr>
          <w:lang w:val="es-CO"/>
        </w:rPr>
        <w:t xml:space="preserve"> </w:t>
      </w:r>
      <w:hyperlink r:id="rId35">
        <w:r>
          <w:rPr>
            <w:rStyle w:val="Hyperlink"/>
            <w:lang w:val="es-CO"/>
          </w:rPr>
          <w:t xml:space="preserve">Descripción de Connector/J</w:t>
        </w:r>
      </w:hyperlink>
      <w:r>
        <w:rPr>
          <w:lang w:val="es-CO"/>
        </w:rPr>
        <w:t xml:space="preserve">.</w:t>
      </w:r>
    </w:p>
    <w:p>
      <w:pPr>
        <w:pStyle w:val="Compact"/>
        <w:numPr>
          <w:ilvl w:val="0"/>
          <w:numId w:val="1001"/>
        </w:numPr>
      </w:pPr>
      <w:r>
        <w:rPr>
          <w:lang w:val="es-CO"/>
        </w:rPr>
        <w:t xml:space="preserve">Oracle.</w:t>
      </w:r>
      <w:r>
        <w:rPr>
          <w:lang w:val="es-CO"/>
        </w:rPr>
        <w:t xml:space="preserve"> </w:t>
      </w:r>
      <w:hyperlink r:id="rId36">
        <w:r>
          <w:rPr>
            <w:rStyle w:val="Hyperlink"/>
            <w:lang w:val="es-CO"/>
          </w:rPr>
          <w:t xml:space="preserve">Oracle Linux 9: módulo MySQL 8.4</w:t>
        </w:r>
      </w:hyperlink>
      <w:r>
        <w:rPr>
          <w:lang w:val="es-CO"/>
        </w:rPr>
        <w:t xml:space="preserve">.</w:t>
      </w:r>
    </w:p>
    <w:p>
      <w:pPr>
        <w:pStyle w:val="Compact"/>
        <w:numPr>
          <w:ilvl w:val="0"/>
          <w:numId w:val="1001"/>
        </w:numPr>
      </w:pPr>
      <w:r>
        <w:rPr>
          <w:lang w:val="es-CO"/>
        </w:rPr>
        <w:t xml:space="preserve">MySQL.</w:t>
      </w:r>
      <w:r>
        <w:rPr>
          <w:lang w:val="es-CO"/>
        </w:rPr>
        <w:t xml:space="preserve"> </w:t>
      </w:r>
      <w:hyperlink r:id="rId37">
        <w:r>
          <w:rPr>
            <w:rStyle w:val="Hyperlink"/>
            <w:lang w:val="es-CO"/>
          </w:rPr>
          <w:t xml:space="preserve">InnoDB: transacciones, claves foráneas y límites técnicos</w:t>
        </w:r>
      </w:hyperlink>
      <w:r>
        <w:rPr>
          <w:lang w:val="es-CO"/>
        </w:rPr>
        <w:t xml:space="preserve">.</w:t>
      </w:r>
    </w:p>
    <w:p>
      <w:pPr>
        <w:pStyle w:val="Compact"/>
        <w:numPr>
          <w:ilvl w:val="0"/>
          <w:numId w:val="1001"/>
        </w:numPr>
      </w:pPr>
      <w:r>
        <w:rPr>
          <w:lang w:val="es-CO"/>
        </w:rPr>
        <w:t xml:space="preserve">MySQL.</w:t>
      </w:r>
      <w:r>
        <w:rPr>
          <w:lang w:val="es-CO"/>
        </w:rPr>
        <w:t xml:space="preserve"> </w:t>
      </w:r>
      <w:hyperlink r:id="rId38">
        <w:r>
          <w:rPr>
            <w:rStyle w:val="Hyperlink"/>
            <w:lang w:val="es-CO"/>
          </w:rPr>
          <w:t xml:space="preserve">Restricciones CHECK desde 8.0.16</w:t>
        </w:r>
      </w:hyperlink>
      <w:r>
        <w:rPr>
          <w:lang w:val="es-CO"/>
        </w:rPr>
        <w:t xml:space="preserve">.</w:t>
      </w:r>
    </w:p>
    <w:p>
      <w:pPr>
        <w:pStyle w:val="Compact"/>
        <w:numPr>
          <w:ilvl w:val="0"/>
          <w:numId w:val="1001"/>
        </w:numPr>
      </w:pPr>
      <w:r>
        <w:rPr>
          <w:lang w:val="es-CO"/>
        </w:rPr>
        <w:t xml:space="preserve">MySQL.</w:t>
      </w:r>
      <w:r>
        <w:rPr>
          <w:lang w:val="es-CO"/>
        </w:rPr>
        <w:t xml:space="preserve"> </w:t>
      </w:r>
      <w:hyperlink r:id="rId39">
        <w:r>
          <w:rPr>
            <w:rStyle w:val="Hyperlink"/>
            <w:lang w:val="es-CO"/>
          </w:rPr>
          <w:t xml:space="preserve">Operaciones UNION, INTERSECT y EXCEPT</w:t>
        </w:r>
      </w:hyperlink>
      <w:r>
        <w:rPr>
          <w:lang w:val="es-CO"/>
        </w:rPr>
        <w:t xml:space="preserve">.</w:t>
      </w:r>
    </w:p>
    <w:p>
      <w:pPr>
        <w:pStyle w:val="Compact"/>
        <w:numPr>
          <w:ilvl w:val="0"/>
          <w:numId w:val="1001"/>
        </w:numPr>
      </w:pPr>
      <w:r>
        <w:rPr>
          <w:lang w:val="es-CO"/>
        </w:rPr>
        <w:t xml:space="preserve">MySQL.</w:t>
      </w:r>
      <w:r>
        <w:rPr>
          <w:lang w:val="es-CO"/>
        </w:rPr>
        <w:t xml:space="preserve"> </w:t>
      </w:r>
      <w:hyperlink r:id="rId40">
        <w:r>
          <w:rPr>
            <w:rStyle w:val="Hyperlink"/>
            <w:lang w:val="es-CO"/>
          </w:rPr>
          <w:t xml:space="preserve">CREATE TRIGGER</w:t>
        </w:r>
      </w:hyperlink>
      <w:r>
        <w:rPr>
          <w:lang w:val="es-CO"/>
        </w:rPr>
        <w:t xml:space="preserve">.</w:t>
      </w:r>
    </w:p>
    <w:p>
      <w:pPr>
        <w:pStyle w:val="Compact"/>
        <w:numPr>
          <w:ilvl w:val="0"/>
          <w:numId w:val="1001"/>
        </w:numPr>
      </w:pPr>
      <w:r>
        <w:rPr>
          <w:lang w:val="es-CO"/>
        </w:rPr>
        <w:t xml:space="preserve">MySQL.</w:t>
      </w:r>
      <w:r>
        <w:rPr>
          <w:lang w:val="es-CO"/>
        </w:rPr>
        <w:t xml:space="preserve"> </w:t>
      </w:r>
      <w:hyperlink r:id="rId41">
        <w:r>
          <w:rPr>
            <w:rStyle w:val="Hyperlink"/>
            <w:lang w:val="es-CO"/>
          </w:rPr>
          <w:t xml:space="preserve">Sintaxis JOIN</w:t>
        </w:r>
      </w:hyperlink>
      <w:r>
        <w:rPr>
          <w:lang w:val="es-CO"/>
        </w:rPr>
        <w:t xml:space="preserve">.</w:t>
      </w:r>
    </w:p>
    <w:p>
      <w:pPr>
        <w:pStyle w:val="Compact"/>
        <w:numPr>
          <w:ilvl w:val="0"/>
          <w:numId w:val="1001"/>
        </w:numPr>
      </w:pPr>
      <w:r>
        <w:rPr>
          <w:lang w:val="es-CO"/>
        </w:rPr>
        <w:t xml:space="preserve">MySQL.</w:t>
      </w:r>
      <w:r>
        <w:rPr>
          <w:lang w:val="es-CO"/>
        </w:rPr>
        <w:t xml:space="preserve"> </w:t>
      </w:r>
      <w:hyperlink r:id="rId42">
        <w:r>
          <w:rPr>
            <w:rStyle w:val="Hyperlink"/>
            <w:lang w:val="es-CO"/>
          </w:rPr>
          <w:t xml:space="preserve">Mayúsculas y minúsculas en identificadores</w:t>
        </w:r>
      </w:hyperlink>
      <w:r>
        <w:rPr>
          <w:lang w:val="es-CO"/>
        </w:rPr>
        <w:t xml:space="preserve">.</w:t>
      </w:r>
    </w:p>
    <w:p>
      <w:pPr>
        <w:pStyle w:val="Compact"/>
        <w:numPr>
          <w:ilvl w:val="0"/>
          <w:numId w:val="1001"/>
        </w:numPr>
      </w:pPr>
      <w:r>
        <w:rPr>
          <w:lang w:val="es-CO"/>
        </w:rPr>
        <w:t xml:space="preserve">MySQL.</w:t>
      </w:r>
      <w:r>
        <w:rPr>
          <w:lang w:val="es-CO"/>
        </w:rPr>
        <w:t xml:space="preserve"> </w:t>
      </w:r>
      <w:hyperlink r:id="rId43">
        <w:r>
          <w:rPr>
            <w:rStyle w:val="Hyperlink"/>
            <w:lang w:val="es-CO"/>
          </w:rPr>
          <w:t xml:space="preserve">Valores por defecto y expresiones admitidas por el servidor</w:t>
        </w:r>
      </w:hyperlink>
      <w:r>
        <w:rPr>
          <w:lang w:val="es-CO"/>
        </w:rPr>
        <w:t xml:space="preserve">.</w:t>
      </w:r>
    </w:p>
    <w:p>
      <w:pPr>
        <w:pStyle w:val="Compact"/>
        <w:numPr>
          <w:ilvl w:val="0"/>
          <w:numId w:val="1001"/>
        </w:numPr>
      </w:pPr>
      <w:r>
        <w:rPr>
          <w:lang w:val="es-CO"/>
        </w:rPr>
        <w:t xml:space="preserve">PostgreSQL.</w:t>
      </w:r>
      <w:r>
        <w:rPr>
          <w:lang w:val="es-CO"/>
        </w:rPr>
        <w:t xml:space="preserve"> </w:t>
      </w:r>
      <w:hyperlink r:id="rId44">
        <w:r>
          <w:rPr>
            <w:rStyle w:val="Hyperlink"/>
            <w:lang w:val="es-CO"/>
          </w:rPr>
          <w:t xml:space="preserve">Características del motor</w:t>
        </w:r>
      </w:hyperlink>
      <w:r>
        <w:rPr>
          <w:lang w:val="es-CO"/>
        </w:rPr>
        <w:t xml:space="preserve"> </w:t>
      </w:r>
      <w:r>
        <w:rPr>
          <w:lang w:val="es-CO"/>
        </w:rPr>
        <w:t xml:space="preserve">y</w:t>
      </w:r>
      <w:r>
        <w:rPr>
          <w:lang w:val="es-CO"/>
        </w:rPr>
        <w:t xml:space="preserve"> </w:t>
      </w:r>
      <w:hyperlink r:id="rId45">
        <w:r>
          <w:rPr>
            <w:rStyle w:val="Hyperlink"/>
            <w:lang w:val="es-CO"/>
          </w:rPr>
          <w:t xml:space="preserve">licencia PostgreSQL</w:t>
        </w:r>
      </w:hyperlink>
      <w:r>
        <w:rPr>
          <w:lang w:val="es-CO"/>
        </w:rPr>
        <w:t xml:space="preserve">.</w:t>
      </w:r>
    </w:p>
    <w:p>
      <w:pPr>
        <w:pStyle w:val="Compact"/>
        <w:numPr>
          <w:ilvl w:val="0"/>
          <w:numId w:val="1001"/>
        </w:numPr>
      </w:pPr>
      <w:r>
        <w:rPr>
          <w:lang w:val="es-CO"/>
        </w:rPr>
        <w:t xml:space="preserve">Oracle.</w:t>
      </w:r>
      <w:r>
        <w:rPr>
          <w:lang w:val="es-CO"/>
        </w:rPr>
        <w:t xml:space="preserve"> </w:t>
      </w:r>
      <w:hyperlink r:id="rId46">
        <w:r>
          <w:rPr>
            <w:rStyle w:val="Hyperlink"/>
            <w:lang w:val="es-CO"/>
          </w:rPr>
          <w:t xml:space="preserve">Límites de CPU, memoria y datos de Database Free</w:t>
        </w:r>
      </w:hyperlink>
      <w:r>
        <w:rPr>
          <w:lang w:val="es-CO"/>
        </w:rPr>
        <w:t xml:space="preserve">.</w:t>
      </w:r>
    </w:p>
    <w:p>
      <w:pPr>
        <w:pStyle w:val="Compact"/>
        <w:numPr>
          <w:ilvl w:val="0"/>
          <w:numId w:val="1001"/>
        </w:numPr>
      </w:pPr>
      <w:r>
        <w:rPr>
          <w:lang w:val="es-CO"/>
        </w:rPr>
        <w:t xml:space="preserve">MariaDB Foundation.</w:t>
      </w:r>
      <w:r>
        <w:rPr>
          <w:lang w:val="es-CO"/>
        </w:rPr>
        <w:t xml:space="preserve"> </w:t>
      </w:r>
      <w:hyperlink r:id="rId47">
        <w:r>
          <w:rPr>
            <w:rStyle w:val="Hyperlink"/>
            <w:lang w:val="es-CO"/>
          </w:rPr>
          <w:t xml:space="preserve">MariaDB Server y licencia GPLv2</w:t>
        </w:r>
      </w:hyperlink>
      <w:r>
        <w:rPr>
          <w:lang w:val="es-CO"/>
        </w:rPr>
        <w:t xml:space="preserve">.</w:t>
      </w:r>
    </w:p>
    <w:sectPr>
      <w:headerReference w:type="default" r:id="rId9"/>
      <w:footerReference w:type="default" r:id="rId10"/>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r>
    <w:r>
      <w:rPr>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33333"/>
        <w:sz w:val="16"/>
      </w:rPr>
      <w:t>Universidad El Bosque · Bases de Datos 1 · Proyecto Final SIGEVET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CO"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color w:val="333333"/>
      <w:sz w:val="22"/>
    </w:rPr>
  </w:style>
  <w:style w:type="paragraph" w:styleId="BodyText">
    <w:name w:val="Body Text"/>
    <w:basedOn w:val="Normal"/>
    <w:link w:val="BodyTextChar"/>
    <w:qFormat/>
    <w:pPr>
      <w:spacing w:before="180" w:after="180"/>
    </w:pPr>
    <w:rPr>
      <w:rFonts w:ascii="Calibri" w:hAnsi="Calibri"/>
      <w:color w:val="333333"/>
      <w:sz w:val="22"/>
    </w:rPr>
  </w:style>
  <w:style w:type="paragraph" w:customStyle="1" w:styleId="FirstParagraph">
    <w:name w:val="First Paragraph"/>
    <w:basedOn w:val="BodyText"/>
    <w:next w:val="BodyText"/>
    <w:qFormat/>
    <w:rPr>
      <w:rFonts w:ascii="Calibri" w:hAnsi="Calibri"/>
      <w:color w:val="333333"/>
      <w:sz w:val="22"/>
    </w:rPr>
  </w:style>
  <w:style w:type="paragraph" w:customStyle="1" w:styleId="Compact">
    <w:name w:val="Compact"/>
    <w:basedOn w:val="BodyText"/>
    <w:qFormat/>
    <w:pPr>
      <w:spacing w:before="36" w:after="36"/>
    </w:pPr>
    <w:rPr>
      <w:rFonts w:ascii="Calibri" w:hAnsi="Calibri"/>
      <w:color w:val="333333"/>
      <w:sz w:val="22"/>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ascii="Calibri" w:hAnsi="Calibri"/>
      <w:b/>
      <w:color w:val="C86A00"/>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ascii="Calibri" w:hAnsi="Calibri"/>
      <w:color w:val="333333"/>
      <w:spacing w:val="15"/>
      <w:sz w:val="3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Calibri" w:hAnsi="Calibri"/>
      <w:b/>
      <w:color w:val="C86A00"/>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Calibri" w:hAnsi="Calibri"/>
      <w:b/>
      <w:color w:val="C86A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Calibri" w:hAnsi="Calibri"/>
      <w:b/>
      <w:color w:val="C86A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ascii="Calibri" w:hAnsi="Calibri"/>
      <w:b/>
      <w:i/>
      <w:iCs/>
      <w:color w:val="C86A00"/>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rFonts w:ascii="Calibri" w:hAnsi="Calibri"/>
      <w:i/>
      <w:color w:val="333333"/>
      <w:sz w:val="18"/>
    </w:rPr>
  </w:style>
  <w:style w:type="paragraph" w:customStyle="1" w:styleId="TableCaption">
    <w:name w:val="Table Caption"/>
    <w:basedOn w:val="Caption"/>
    <w:pPr>
      <w:keepNext/>
    </w:pPr>
    <w:rPr>
      <w:rFonts w:ascii="Calibri" w:hAnsi="Calibri"/>
      <w:color w:val="333333"/>
      <w:sz w:val="18"/>
    </w:rPr>
  </w:style>
  <w:style w:type="paragraph" w:customStyle="1" w:styleId="ImageCaption">
    <w:name w:val="Image Caption"/>
    <w:basedOn w:val="Caption"/>
    <w:rPr>
      <w:rFonts w:ascii="Calibri" w:hAnsi="Calibri"/>
      <w:color w:val="333333"/>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Calibri" w:hAnsi="Calibri"/>
      <w:b/>
      <w:bCs w:val="0"/>
      <w:color w:val="C86A00"/>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5" Type="http://schemas.openxmlformats.org/officeDocument/2006/relationships/hyperlink" Target="https://dev.mysql.com/doc/connector-j/en/connector-j-overview.html" TargetMode="External"/><Relationship Id="rId38" Type="http://schemas.openxmlformats.org/officeDocument/2006/relationships/hyperlink" Target="https://dev.mysql.com/doc/refman/8.0/en/create-table-check-constraints.html" TargetMode="External"/><Relationship Id="rId39" Type="http://schemas.openxmlformats.org/officeDocument/2006/relationships/hyperlink" Target="https://dev.mysql.com/doc/refman/8.0/en/set-operations.html" TargetMode="External"/><Relationship Id="rId40" Type="http://schemas.openxmlformats.org/officeDocument/2006/relationships/hyperlink" Target="https://dev.mysql.com/doc/refman/8.4/en/create-trigger.html" TargetMode="External"/><Relationship Id="rId43" Type="http://schemas.openxmlformats.org/officeDocument/2006/relationships/hyperlink" Target="https://dev.mysql.com/doc/refman/8.4/en/data-type-defaults.html" TargetMode="External"/><Relationship Id="rId42" Type="http://schemas.openxmlformats.org/officeDocument/2006/relationships/hyperlink" Target="https://dev.mysql.com/doc/refman/8.4/en/identifier-case-sensitivity.html" TargetMode="External"/><Relationship Id="rId37" Type="http://schemas.openxmlformats.org/officeDocument/2006/relationships/hyperlink" Target="https://dev.mysql.com/doc/refman/8.4/en/innodb-introduction.html" TargetMode="External"/><Relationship Id="rId41" Type="http://schemas.openxmlformats.org/officeDocument/2006/relationships/hyperlink" Target="https://dev.mysql.com/doc/refman/8.4/en/join.html" TargetMode="External"/><Relationship Id="rId33" Type="http://schemas.openxmlformats.org/officeDocument/2006/relationships/hyperlink" Target="https://dev.mysql.com/doc/workbench/en/wb-editions.html" TargetMode="External"/><Relationship Id="rId34" Type="http://schemas.openxmlformats.org/officeDocument/2006/relationships/hyperlink" Target="https://dev.mysql.com/doc/workbench/en/wb-relationship-tools.html" TargetMode="External"/><Relationship Id="rId46" Type="http://schemas.openxmlformats.org/officeDocument/2006/relationships/hyperlink" Target="https://docs.oracle.com/en/database/oracle/oracle-database/26/xeinl/licensing-restrictions.html" TargetMode="External"/><Relationship Id="rId36" Type="http://schemas.openxmlformats.org/officeDocument/2006/relationships/hyperlink" Target="https://docs.oracle.com/en/operating-systems/oracle-linux/9/relnotes9.6/ol9-features-DynamicProgramming.html" TargetMode="External"/><Relationship Id="rId47" Type="http://schemas.openxmlformats.org/officeDocument/2006/relationships/hyperlink" Target="https://mariadb.org/about/" TargetMode="External"/><Relationship Id="rId32" Type="http://schemas.openxmlformats.org/officeDocument/2006/relationships/hyperlink" Target="https://www.mysql.com/products/community/index.html" TargetMode="External"/><Relationship Id="rId44" Type="http://schemas.openxmlformats.org/officeDocument/2006/relationships/hyperlink" Target="https://www.postgresql.org/about/" TargetMode="External"/><Relationship Id="rId45" Type="http://schemas.openxmlformats.org/officeDocument/2006/relationships/hyperlink" Target="https://www.postgresql.org/about/licence/" TargetMode="External"/><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35" Type="http://schemas.openxmlformats.org/officeDocument/2006/relationships/hyperlink" Target="https://dev.mysql.com/doc/connector-j/en/connector-j-overview.html" TargetMode="External"/><Relationship Id="rId38" Type="http://schemas.openxmlformats.org/officeDocument/2006/relationships/hyperlink" Target="https://dev.mysql.com/doc/refman/8.0/en/create-table-check-constraints.html" TargetMode="External"/><Relationship Id="rId39" Type="http://schemas.openxmlformats.org/officeDocument/2006/relationships/hyperlink" Target="https://dev.mysql.com/doc/refman/8.0/en/set-operations.html" TargetMode="External"/><Relationship Id="rId40" Type="http://schemas.openxmlformats.org/officeDocument/2006/relationships/hyperlink" Target="https://dev.mysql.com/doc/refman/8.4/en/create-trigger.html" TargetMode="External"/><Relationship Id="rId43" Type="http://schemas.openxmlformats.org/officeDocument/2006/relationships/hyperlink" Target="https://dev.mysql.com/doc/refman/8.4/en/data-type-defaults.html" TargetMode="External"/><Relationship Id="rId42" Type="http://schemas.openxmlformats.org/officeDocument/2006/relationships/hyperlink" Target="https://dev.mysql.com/doc/refman/8.4/en/identifier-case-sensitivity.html" TargetMode="External"/><Relationship Id="rId37" Type="http://schemas.openxmlformats.org/officeDocument/2006/relationships/hyperlink" Target="https://dev.mysql.com/doc/refman/8.4/en/innodb-introduction.html" TargetMode="External"/><Relationship Id="rId41" Type="http://schemas.openxmlformats.org/officeDocument/2006/relationships/hyperlink" Target="https://dev.mysql.com/doc/refman/8.4/en/join.html" TargetMode="External"/><Relationship Id="rId33" Type="http://schemas.openxmlformats.org/officeDocument/2006/relationships/hyperlink" Target="https://dev.mysql.com/doc/workbench/en/wb-editions.html" TargetMode="External"/><Relationship Id="rId34" Type="http://schemas.openxmlformats.org/officeDocument/2006/relationships/hyperlink" Target="https://dev.mysql.com/doc/workbench/en/wb-relationship-tools.html" TargetMode="External"/><Relationship Id="rId46" Type="http://schemas.openxmlformats.org/officeDocument/2006/relationships/hyperlink" Target="https://docs.oracle.com/en/database/oracle/oracle-database/26/xeinl/licensing-restrictions.html" TargetMode="External"/><Relationship Id="rId36" Type="http://schemas.openxmlformats.org/officeDocument/2006/relationships/hyperlink" Target="https://docs.oracle.com/en/operating-systems/oracle-linux/9/relnotes9.6/ol9-features-DynamicProgramming.html" TargetMode="External"/><Relationship Id="rId47" Type="http://schemas.openxmlformats.org/officeDocument/2006/relationships/hyperlink" Target="https://mariadb.org/about/" TargetMode="External"/><Relationship Id="rId32" Type="http://schemas.openxmlformats.org/officeDocument/2006/relationships/hyperlink" Target="https://www.mysql.com/products/community/index.html" TargetMode="External"/><Relationship Id="rId44" Type="http://schemas.openxmlformats.org/officeDocument/2006/relationships/hyperlink" Target="https://www.postgresql.org/about/" TargetMode="External"/><Relationship Id="rId45" Type="http://schemas.openxmlformats.org/officeDocument/2006/relationships/hyperlink" Target="https://www.postgresql.org/about/lic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Análisis de selección de RDBMS — SIGEVET</dc:title>
  <dc:creator>Sebastián Castellanos Parra, Juan David Polo Herrera, Juan Miguel Ramos</dc:creator>
  <dc:language>es-CO</dc:language>
  <cp:keywords/>
  <dcterms:created xsi:type="dcterms:W3CDTF">2026-10-21T17:18:40Z</dcterms:created>
  <dcterms:modified xsi:type="dcterms:W3CDTF">2026-10-21T17:18:40Z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e">
    <vt:lpwstr>Fase 2</vt:lpwstr>
  </property>
  <property fmtid="{D5CDD505-2E9C-101B-9397-08002B2CF9AE}" pid="3" name="subtitle">
    <vt:lpwstr>Documento de Análisis de selección de RDBMS</vt:lpwstr>
  </property>
  <property fmtid="{D5CDD505-2E9C-101B-9397-08002B2CF9AE}" pid="4" name="toc-title">
    <vt:lpwstr>Tabla de contenido</vt:lpwstr>
  </property>
  <property fmtid="{D5CDD505-2E9C-101B-9397-08002B2CF9AE}" pid="5" name="version">
    <vt:lpwstr>1.0</vt:lpwstr>
  </property>
</Properties>
</file>