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constituye SIGEVET, Sistema Integral de Gestión Veterinaria, como proyecto académico de Bases de Datos 1 de la Universidad El Bosque. Su propósito es integrar la información de las cinco sedes de la organización ficticia Huella Sana S.A.S.: Usaquén, Chapinero, Chía, Laureles y San Fernando.</w:t>
      </w:r>
    </w:p>
    <w:p>
      <w:pPr>
        <w:pStyle w:val="BodyText"/>
      </w:pPr>
      <w:r>
        <w:rPr>
          <w:lang w:val="es-CO"/>
        </w:rPr>
        <w:t xml:space="preserve">Las agendas aisladas, las historias clínicas físicas y la facturación sin integración producen duplicidad de clientes, cruces de citas y consultas incompletas entre sedes. Se autoriza construir una base relacional centralizada y una aplicación web de consulta para demostrar integridad y trazabilidad clínica, operativa y comercial.</w:t>
      </w:r>
    </w:p>
    <w:p>
      <w:pPr>
        <w:pStyle w:val="Heading1"/>
      </w:pPr>
      <w:bookmarkStart w:id="20" w:name="_4113d6c817fe1b48f394c0081e980c3f2741787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criterios de éxito</w:t>
      </w:r>
      <w:bookmarkEnd w:id="20"/>
    </w:p>
    <w:p>
      <w:pPr>
        <w:pStyle w:val="Heading2"/>
      </w:pPr>
      <w:bookmarkStart w:id="21" w:name="_c64fb550c3e89cc8e7ce1cbb90cf5a950e7566d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Objetivo general</w:t>
      </w:r>
      <w:bookmarkEnd w:id="21"/>
    </w:p>
    <w:p>
      <w:pPr>
        <w:pStyle w:val="FirstParagraph"/>
      </w:pPr>
      <w:r>
        <w:rPr>
          <w:lang w:val="es-CO"/>
        </w:rPr>
        <w:t xml:space="preserve">Diseñar e implementar SIGEVET en MySQL sobre una máquina virtual Oracle Linux, desde el modelo conceptual hasta la consulta web, para integrar la información de Huella Sana.</w:t>
      </w:r>
    </w:p>
    <w:p>
      <w:pPr>
        <w:pStyle w:val="Heading2"/>
      </w:pPr>
      <w:bookmarkStart w:id="22" w:name="_cb37acc1d3c00bf5df0b06a4f27c7103121ff3b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Objetivos 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 de negocio de las cinco sedes.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MER Chen, MER Extendido y modelos lógico y relacional en MySQL 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las 22 tablas del esquema a tercera forma normal y documentar tipos, dominios y 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relacional mediante sus consultas equivalentes y datos de prueba.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VM, RDBMS y scripts reproducibles, y conectar la aplicación Java (Servlets y JSP) con el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Mantener aportes verificables en Git/GitHub y presentar una demostración de máximo 15 minutos con audio y cámara de todos los integrantes.</w:t>
      </w:r>
    </w:p>
    <w:p>
      <w:pPr>
        <w:pStyle w:val="FirstParagraph"/>
      </w:pPr>
      <w:r>
        <w:rPr>
          <w:lang w:val="es-CO"/>
        </w:rPr>
        <w:t xml:space="preserve">Se considera satisfactorio el proyecto cuando el docente valida los entregables oficiales, los scripts reconstruyen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las consultas producen los resultados esperados y la aplicación acredita acceso de solo lectura. La validación de Fase 1 se ubica en Semana 8, la de Fase 2 en Semana 13 y el cierre en Semana 14.</w:t>
      </w:r>
    </w:p>
    <w:p>
      <w:pPr>
        <w:pStyle w:val="Heading1"/>
      </w:pPr>
      <w:bookmarkStart w:id="23" w:name="_ec7ad293da536eafda195fa3827b90667ba02a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 autorizado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Estructura geográfica y sedes con director; empleados, veterinarios, auxiliares y especialidades; clientes con teléfonos; mascotas, razas y especies; historia clínica única por mascota; citas y consultas; prescripciones; inventario por sede y stock mínimo; facturas y sus detalles. Incluye modelado, normalización, implementación, datos ficticios y consultas web de demostración. Las operaciones de registro se demuestran mediante SQL; la aplicación web permite únicamente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Facturación electrónica ante la DIAN, nómina, contabilidad, pagos en línea, compras a proveedores, lotes o vencimientos de medicamentos, autenticación de usuarios finales, aplicación móvil, alta disponibilidad ni réplicas. No se compromete una puesta en producción en clínicas reales.</w:t>
      </w:r>
    </w:p>
    <w:p>
      <w:pPr>
        <w:pStyle w:val="Heading1"/>
      </w:pPr>
      <w:bookmarkStart w:id="26" w:name="_9414921b14caf6c114b1f981cf2b035f3e7c2a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 por fase</w:t>
      </w:r>
      <w:bookmarkEnd w:id="26"/>
    </w:p>
    <w:p>
      <w:pPr>
        <w:pStyle w:val="TableCaption"/>
      </w:pPr>
      <w:r>
        <w:rPr>
          <w:lang w:val="es-CO"/>
        </w:rPr>
        <w:t xml:space="preserve">Productos sujetos a aceptación académica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 sujetos a aceptación académ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proyecto; Documento de supuestos; MER notación Peter Chen; MER Extendido; MER Barker / Crow’s Foot (MySQL Workbench); Modelo relacional Crow’s Foot (MySQL Workbench); Diccionario de datos; Documento de álgebra relacional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SO; Implementación de la VM; Análisis de selección de RDBMS; Implementación del RDBMS; Scripts de creación de objetos, inserción de registros y varios con README; Conexión de la aplicación web; Repositorio Git; Video de demostración de máximo 15 minutos, con todos los integrantes con audio y 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constitución; Identificación de interesados; EDT/WBS; Cronograma; Presupuesto; Acta de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forma parte del modelo relacional y tiene paquete propio en la EDT; no sustituye ningún entregable oficial.</w:t>
      </w:r>
    </w:p>
    <w:p>
      <w:pPr>
        <w:pStyle w:val="Heading1"/>
      </w:pPr>
      <w:bookmarkStart w:id="27" w:name="_10ff8d6f2282a4d379fff7019cda0bb7c6d213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 de control</w:t>
      </w:r>
      <w:bookmarkEnd w:id="27"/>
    </w:p>
    <w:p>
      <w:pPr>
        <w:pStyle w:val="TableCaption"/>
      </w:pPr>
      <w:r>
        <w:rPr>
          <w:lang w:val="es-CO"/>
        </w:rPr>
        <w:t xml:space="preserve">Secuencia de hitos autorizada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encia de hitos autorizad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los tres integrantes y de sus portátiles, acceso a Internet y retroalimentación del docente en las revisiones. Los actores de Huella Sana son perfiles simulados; el equipo valida reglas del caso con el docente, sin atribuir entrevistas a una empresa real.</w:t>
      </w:r>
    </w:p>
    <w:p>
      <w:pPr>
        <w:pStyle w:val="BodyText"/>
      </w:pPr>
      <w:r>
        <w:rPr>
          <w:lang w:val="es-CO"/>
        </w:rPr>
        <w:t xml:space="preserve">El horizonte es de 14 semanas y 385 horas de esfuerzo distribuido, sin dedicación exclusiva. Se utilizarán Oracle Linux 9, MySQL 8.4 LTS con MySQL Workbench, VirtualBox (con simulación previa en Lima) y Java con Servlets/JSP sobre Tomcat, dentro de la VM de 6 GB prevista en la propuesta. Los datos serán ficticios y el esquema de consulta tendrá privilegios mínimos. El medio de virtualización se adecúa al equipo anfitrión sin cambiar el alcance funcional.</w:t>
      </w:r>
    </w:p>
    <w:p>
      <w:pPr>
        <w:pStyle w:val="Heading1"/>
      </w:pPr>
      <w:bookmarkStart w:id="29" w:name="_4a723c2c1a0d42708c69df282f5800ac7e5fd19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 de alto nivel</w:t>
      </w:r>
      <w:bookmarkEnd w:id="29"/>
    </w:p>
    <w:p>
      <w:pPr>
        <w:pStyle w:val="TableCaption"/>
      </w:pPr>
      <w:r>
        <w:rPr>
          <w:lang w:val="es-CO"/>
        </w:rPr>
        <w:t xml:space="preserve">Riesgos y respuestas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respuesta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 o incompatibilidad de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arquitectura, memoria y arranque antes de instalar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tardíos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solicitud, estimar horas e impacto y obtener validación del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o 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modelos, normalización y resultados de 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al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 paquetes, revisar avances semanalmente y verificar contribuciones;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Divergencia entre DDL, diccionario y diagramas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la especificación común y revisar diferencias; Juan David Polo Herrera.</w:t>
            </w:r>
          </w:p>
        </w:tc>
      </w:tr>
    </w:tbl>
    <w:p>
      <w:pPr>
        <w:pStyle w:val="Heading1"/>
      </w:pPr>
      <w:bookmarkStart w:id="30" w:name="_001469f6a8da11139ae647a1c000523b716b6c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 resumido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</w:t>
      </w:r>
      <w:r>
        <w:rPr>
          <w:lang w:val="es-CO"/>
        </w:rPr>
        <w:t xml:space="preserve">y coincide con el presupuesto detallado y el Excel. Valora aportes académicos. El gerente registra el uso de reserva y solicita validación del docente si altera el alcance.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base, modelo relacional, normalización, scripts y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interesados, supuestos, Chen/EER, modelo lógico y diccionario; verificar 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análisis de SO, VM, aplicación web y coordinación del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 y criterios de aceptación, evaluar fases y autorizar cierre académico; sin financiación monetaria asumida.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formaliza la aceptación del alcance y de las líneas base. Los espacios se dejan para sus titulares.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2026-10-21T17:18:46Z</dcterms:created>
  <dcterms:modified xsi:type="dcterms:W3CDTF">2026-10-21T17:18:46Z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