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video muestra el desarrollo, la manipulación de la base de datos y la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>Entrar por SSH al portátil con Fedora (192.168.2.40), iniciar la VM (limactl start sigevet), entrar con limactl shell sigevet y verificar MySQL y la app (systemctl status mysqld sigevet-web). La VM debe estar encendida.</w:t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>Abrir: una terminal SSH dentro de la VM, MySQL Workbench conectado a la base (usuario vetdb), la aplicación web en http://192.168.2.40:5000, los diagramas de draw.io y el repositorio en GitHub.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Los cuatro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Cámaras de los cuatro;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Draw.io: Barker (15_Barker_Global), Crow’s Foot (19_CrowsFoot_Global), relacional (23_Relacional_Global) y normalización (27_Normalizacion); diccionario de datos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Terminal SSH al portátil: cat /etc/fedora-release, nproc, free -h, df -h /, ip -4 addr show; luego limactl list, limactl shell sigevet, cat /etc/oracle-release y systemctl status mysqld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Por qué Linux y Oracle Linux; el portátil con Fedora 44 como servidor (Ryzen 3 3250U, 17 GiB de RAM, 475 GB de disco, IP 192.168.2.40); la VM con Oracle Linux 9 y MySQL 8.4 dentro;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Sergio Alejandro Parra Rivera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Terminal SSH al portátil, limactl shell sigevet y, dentro de la VM, bash vm/scripts/cargar_bd.sh --reiniciar con la salida de la verificación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Sergio Alejandro Parra Rivera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Los cuatro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21: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>Ensayar una vez completo con cronómetro; si se pasa de 14 minutos, recortar el bloque 6 a dos consultas (la 41 y la 46).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