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120c389c0695813e1df94554ad6be635b65778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Transformación del MER</w:t>
      </w:r>
      <w:bookmarkEnd w:id="19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2"/>
      </w:pPr>
      <w:bookmarkStart w:id="20" w:name="_ejemplos"/>
      <w:r>
        <w:rPr>
          <w:rStyle w:val="SectionNumber"/>
          <w:lang w:val="es-CO"/>
        </w:rPr>
        <w:t xml:space="preserve">1.1</w:t>
      </w:r>
      <w:r>
        <w:tab/>
      </w:r>
      <w:r>
        <w:rPr>
          <w:lang w:val="es-CO"/>
        </w:rPr>
        <w:t xml:space="preserve">Ejemplos</w:t>
      </w:r>
      <w:bookmarkEnd w:id="20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22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25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28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31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34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En el ciclo SEDE–EMPLEADO (LABORAR/DIRIGIR),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crear EMPLEADO.</w:t>
      </w:r>
      <w:r>
        <w:rPr>
          <w:lang w:val="es-CO"/>
        </w:rPr>
        <w:t xml:space="preserve"> Como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nulos, se puede crear primero SEDE (S-07).</w:t>
      </w:r>
    </w:p>
    <w:p>
      <w:pPr>
        <w:pStyle w:val="Heading1"/>
      </w:pPr>
      <w:bookmarkStart w:id="36" w:name="_5f98f5c7377c166e8004a4e2d0173c5a00ea65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Esquema relacional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37" w:name="_0ca0c6e0590bf4ca61f137fc5072e7ee3c5ee6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relacional (Draw.io)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22 tablas y 30 FK, con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 y discontinua las demás. Padre 1 o 0..1 según nulabilidad; inversa 0..N o 0..1 según UNIQUE. El DDL no expresa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39" name="Picture"/>
            <a:graphic>
              <a:graphicData uri="http://schemas.openxmlformats.org/drawingml/2006/picture">
                <pic:pic>
                  <pic:nvPicPr>
                    <pic:cNvPr descr="diagramas/png/23_Relacional_Glob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2"/>
      </w:pPr>
      <w:bookmarkStart w:id="41" w:name="_cfb15f8888cb2bd019aafc191f771ba1a8d50e8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Vistas por área</w:t>
      </w:r>
      <w:bookmarkEnd w:id="41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43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46" name="Picture"/>
            <a:graphic>
              <a:graphicData uri="http://schemas.openxmlformats.org/drawingml/2006/picture">
                <pic:pic>
                  <pic:nvPicPr>
                    <pic:cNvPr descr="diagramas/png/25_Relacional_Clini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49" name="Picture"/>
            <a:graphic>
              <a:graphicData uri="http://schemas.openxmlformats.org/drawingml/2006/picture">
                <pic:pic>
                  <pic:nvPicPr>
                    <pic:cNvPr descr="diagramas/png/26_Relacional_Comerci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1"/>
      </w:pPr>
      <w:bookmarkStart w:id="51" w:name="_9f5ed94368e0cb8030db26b62ab8c35ee7d982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Integridad referencial</w:t>
      </w:r>
      <w:bookmarkEnd w:id="51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52" w:name="_normaliza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Normalización</w:t>
      </w:r>
      <w:bookmarkEnd w:id="52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54" name="Picture"/>
            <a:graphic>
              <a:graphicData uri="http://schemas.openxmlformats.org/drawingml/2006/picture">
                <pic:pic>
                  <pic:nvPicPr>
                    <pic:cNvPr descr="diagramas/png/27_Normalizac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2"/>
      </w:pPr>
      <w:bookmarkStart w:id="56" w:name="_conceptos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Conceptos</w:t>
      </w:r>
      <w:bookmarkEnd w:id="56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2"/>
      </w:pPr>
      <w:bookmarkStart w:id="57" w:name="_6e132e32df50a82023cfa0f0fed2b00e9c1d66a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Formato inicial (0FN)</w:t>
      </w:r>
      <w:bookmarkEnd w:id="57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los </w:t>
      </w:r>
      <w:r>
        <w:rPr>
          <w:lang w:val="es-CO"/>
        </w:rPr>
        <w:t xml:space="preserve">teléfonos se repiten, no se puede registrar un medicamento sin una venta y al eliminar la única factura de un cliente se pierde el cliente.</w:t>
      </w:r>
    </w:p>
    <w:p>
      <w:pPr>
        <w:pStyle w:val="Heading2"/>
      </w:pPr>
      <w:bookmarkStart w:id="58" w:name="_e246aafd8d38d45632538a82b7202bff8b7b6c6"/>
      <w:r>
        <w:rPr>
          <w:rStyle w:val="SectionNumber"/>
          <w:lang w:val="es-CO"/>
        </w:rPr>
        <w:t xml:space="preserve">5.3</w:t>
      </w:r>
      <w:r>
        <w:tab/>
      </w:r>
      <w:r>
        <w:rPr>
          <w:lang w:val="es-CO"/>
        </w:rPr>
        <w:t xml:space="preserve">Primera Forma Normal (1FN)</w:t>
      </w:r>
      <w:bookmarkEnd w:id="58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>Transitiva, vía atributo no primo</w:t>
            </w:r>
            <w:r>
              <w:rPr>
                <w:sz w:val="19"/>
                <w:lang w:val="es-CO"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59" w:name="_91a27f5ca24a897628b74459d5650c4a5118f9c"/>
      <w:r>
        <w:rPr>
          <w:rStyle w:val="SectionNumber"/>
          <w:lang w:val="es-CO"/>
        </w:rPr>
        <w:t xml:space="preserve">5.4</w:t>
      </w:r>
      <w:r>
        <w:tab/>
      </w:r>
      <w:r>
        <w:rPr>
          <w:lang w:val="es-CO"/>
        </w:rPr>
        <w:t xml:space="preserve">Segunda Forma Normal (2FN)</w:t>
      </w:r>
      <w:bookmarkEnd w:id="59"/>
    </w:p>
    <w:p>
      <w:pPr>
        <w:pStyle w:val="FirstParagraph"/>
      </w:pPr>
      <w:r>
        <w:rPr>
          <w:lang w:val="es-CO"/>
        </w:rPr>
        <w:t>DF2 es parcial respecto de la clave compuesta; DF3 es transitiva a través de codigo_item. Se separan la factura y el ítem.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guarda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que no es el vigente (S-37).</w:t>
      </w:r>
    </w:p>
    <w:p>
      <w:pPr>
        <w:pStyle w:val="Heading2"/>
      </w:pPr>
      <w:bookmarkStart w:id="60" w:name="_01ba4faec9d3960aec88de952d29d770a3c7c2e"/>
      <w:r>
        <w:rPr>
          <w:rStyle w:val="SectionNumber"/>
          <w:lang w:val="es-CO"/>
        </w:rPr>
        <w:t xml:space="preserve">5.5</w:t>
      </w:r>
      <w:r>
        <w:tab/>
      </w:r>
      <w:r>
        <w:rPr>
          <w:lang w:val="es-CO"/>
        </w:rPr>
        <w:t xml:space="preserve">Tercera Forma Normal (3FN)</w:t>
      </w:r>
      <w:bookmarkEnd w:id="60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2"/>
      </w:pPr>
      <w:bookmarkStart w:id="61" w:name="_5b60e96e38f11fd306f2761c9a1bf8d24e07549"/>
      <w:r>
        <w:rPr>
          <w:rStyle w:val="SectionNumber"/>
          <w:lang w:val="es-CO"/>
        </w:rPr>
        <w:t xml:space="preserve">5.6</w:t>
      </w:r>
      <w:r>
        <w:tab/>
      </w:r>
      <w:r>
        <w:rPr>
          <w:lang w:val="es-CO"/>
        </w:rPr>
        <w:t xml:space="preserve">Verificación 3FN</w:t>
      </w:r>
      <w:bookmarkEnd w:id="61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>La verificación resume las dependencias consideradas para 3FN. La forma de Boyce-Codd requiere analizar todas las dependencias funcionales y llaves candidatas de cada relación.</w:t>
      </w:r>
    </w:p>
    <w:p>
      <w:pPr>
        <w:pStyle w:val="Heading1"/>
      </w:pPr>
      <w:bookmarkStart w:id="62" w:name="_5d39a7540af935ac9c7d18dbc0ee1862a44078b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Script DDL</w:t>
      </w:r>
      <w:bookmarkEnd w:id="62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22 tablas,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y los</w:t>
      </w:r>
      <w:r>
        <w:rPr>
          <w:lang w:val="es-CO"/>
        </w:rPr>
        <w:t xml:space="preserve"> comentarios de tablas y columnas.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3" Type="http://schemas.openxmlformats.org/officeDocument/2006/relationships/image" Target="media/rId5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