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(DIRIGE), HISTORIA_CLINICA.id_mascota (TIENE), CONSULTA.id_cita (GENERA)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(PROPIETARIO_DE)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Heading2"/>
      </w:pPr>
      <w:bookmarkStart w:id="21" w:name="_9a8a829ca653f13bce16985127fe1393edaeccf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Ejemplos gráficos de transformación</w:t>
      </w:r>
      <w:bookmarkEnd w:id="21"/>
    </w:p>
    <w:p>
      <w:pPr>
        <w:pStyle w:val="CaptionedFigure"/>
      </w:pPr>
      <w:r>
        <w:drawing>
          <wp:inline>
            <wp:extent cx="5334000" cy="3721624"/>
            <wp:effectExtent b="0" l="0" r="0" t="0"/>
            <wp:docPr descr="CLIENTE y teléfonos multivaluados" title="" id="23" name="Picture"/>
            <a:graphic>
              <a:graphicData uri="http://schemas.openxmlformats.org/drawingml/2006/picture">
                <pic:pic>
                  <pic:nvPicPr>
                    <pic:cNvPr descr="diagramas/png/05_Transformacion_Multivaluados_CLIENTE_191116-24Oct202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3672266"/>
            <wp:effectExtent b="0" l="0" r="0" t="0"/>
            <wp:docPr descr="Relación N:M PRESCRIBE" title="" id="26" name="Picture"/>
            <a:graphic>
              <a:graphicData uri="http://schemas.openxmlformats.org/drawingml/2006/picture">
                <pic:pic>
                  <pic:nvPicPr>
                    <pic:cNvPr descr="diagramas/png/06_Transformacion_NM_PRESCRIPCION_191116-24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2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PRESCRIBE</w:t>
      </w:r>
    </w:p>
    <w:p>
      <w:pPr>
        <w:pStyle w:val="CaptionedFigure"/>
      </w:pPr>
      <w:r>
        <w:drawing>
          <wp:inline>
            <wp:extent cx="5334000" cy="3672266"/>
            <wp:effectExtent b="0" l="0" r="0" t="0"/>
            <wp:docPr descr="Relación N:M ALMACENA" title="" id="29" name="Picture"/>
            <a:graphic>
              <a:graphicData uri="http://schemas.openxmlformats.org/drawingml/2006/picture">
                <pic:pic>
                  <pic:nvPicPr>
                    <pic:cNvPr descr="diagramas/png/07_Transformacion_NM_INVENTARIO_191116-24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2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</w:t>
      </w:r>
    </w:p>
    <w:p>
      <w:pPr>
        <w:pStyle w:val="CaptionedFigure"/>
      </w:pPr>
      <w:r>
        <w:drawing>
          <wp:inline>
            <wp:extent cx="5334000" cy="3672266"/>
            <wp:effectExtent b="0" l="0" r="0" t="0"/>
            <wp:docPr descr="Relación N:M CERTIFICADO_EN" title="" id="32" name="Picture"/>
            <a:graphic>
              <a:graphicData uri="http://schemas.openxmlformats.org/drawingml/2006/picture">
                <pic:pic>
                  <pic:nvPicPr>
                    <pic:cNvPr descr="diagramas/png/08_Transformacion_NM_ESPECIALIDAD_191116-24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2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CERTIFICADO_EN</w:t>
      </w:r>
    </w:p>
    <w:p>
      <w:pPr>
        <w:pStyle w:val="CaptionedFigure"/>
      </w:pPr>
      <w:r>
        <w:drawing>
          <wp:inline>
            <wp:extent cx="5334000" cy="3721624"/>
            <wp:effectExtent b="0" l="0" r="0" t="0"/>
            <wp:docPr descr="Entidad débil DETALLE_FACTURA y llave parcial" title="" id="35" name="Picture"/>
            <a:graphic>
              <a:graphicData uri="http://schemas.openxmlformats.org/drawingml/2006/picture">
                <pic:pic>
                  <pic:nvPicPr>
                    <pic:cNvPr descr="diagramas/png/09_Entidad_Debil_DETALLE_FACTURA_191116-24Oct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(LABORA_EN) y SEDE referencia a EMPLEADO (DIRIGE).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37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37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38" w:name="_0ca0c6e0590bf4ca61f137fc5072e7ee3c5ee62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(Draw.io)</w:t>
      </w:r>
      <w:bookmarkEnd w:id="38"/>
    </w:p>
    <w:p>
      <w:pPr>
        <w:pStyle w:val="FirstParagraph"/>
      </w:pPr>
      <w:r>
        <w:rPr>
          <w:lang w:val="es-CO"/>
        </w:rPr>
        <w:t xml:space="preserve">El diagrama reproduce las 22 tablas, los tipos MySQL y las 30 llaves foráneas del DDL. # identifica la PK; * indica NOT NULL y o admite nulos; FK y UQn muestran llaves foráneas y grupos UNIQUE. Las relaciones identificadoras son continuas; las demás, discontinuas. La cardinalidad del padre es 1 u 0..1 según nulabilidad; la inversa es 0..N u 0..1 según UNIQUE. El DDL no impone por sí solo todas las participaciones mínimas del modelo conceptual.</w:t>
      </w:r>
    </w:p>
    <w:p>
      <w:pPr>
        <w:pStyle w:val="CaptionedFigure"/>
      </w:pPr>
      <w:r>
        <w:drawing>
          <wp:inline>
            <wp:extent cx="5334000" cy="4427446"/>
            <wp:effectExtent b="0" l="0" r="0" t="0"/>
            <wp:docPr descr="Modelo relacional completo de SIGEVET — Draw.io" title="" id="40" name="Picture"/>
            <a:graphic>
              <a:graphicData uri="http://schemas.openxmlformats.org/drawingml/2006/picture">
                <pic:pic>
                  <pic:nvPicPr>
                    <pic:cNvPr descr="diagramas/png/23_Relacional_Global_191116-24Oct202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2"/>
      </w:pPr>
      <w:bookmarkStart w:id="42" w:name="_cfb15f8888cb2bd019aafc191f771ba1a8d50e8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Vistas por área</w:t>
      </w:r>
      <w:bookmarkEnd w:id="42"/>
    </w:p>
    <w:p>
      <w:pPr>
        <w:pStyle w:val="FirstParagraph"/>
      </w:pPr>
      <w:r>
        <w:rPr>
          <w:lang w:val="es-CO"/>
        </w:rPr>
        <w:t xml:space="preserve">Cada vista incluye las entidades de su área y referencias externas sin atributos.</w:t>
      </w:r>
    </w:p>
    <w:p>
      <w:pPr>
        <w:pStyle w:val="CaptionedFigure"/>
      </w:pPr>
      <w:r>
        <w:drawing>
          <wp:inline>
            <wp:extent cx="5334000" cy="6656976"/>
            <wp:effectExtent b="0" l="0" r="0" t="0"/>
            <wp:docPr descr="Modelo relacional — Organizacion" title="" id="44" name="Picture"/>
            <a:graphic>
              <a:graphicData uri="http://schemas.openxmlformats.org/drawingml/2006/picture">
                <pic:pic>
                  <pic:nvPicPr>
                    <pic:cNvPr descr="diagramas/png/24_Relacional_Organizacion_191116-24Oct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6656976"/>
            <wp:effectExtent b="0" l="0" r="0" t="0"/>
            <wp:docPr descr="Modelo relacional — Clinica" title="" id="47" name="Picture"/>
            <a:graphic>
              <a:graphicData uri="http://schemas.openxmlformats.org/drawingml/2006/picture">
                <pic:pic>
                  <pic:nvPicPr>
                    <pic:cNvPr descr="diagramas/png/25_Relacional_Clinica_191116-24Oct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6656976"/>
            <wp:effectExtent b="0" l="0" r="0" t="0"/>
            <wp:docPr descr="Modelo relacional — Comercial" title="" id="50" name="Picture"/>
            <a:graphic>
              <a:graphicData uri="http://schemas.openxmlformats.org/drawingml/2006/picture">
                <pic:pic>
                  <pic:nvPicPr>
                    <pic:cNvPr descr="diagramas/png/26_Relacional_Comercial_191116-24Oct202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FirstParagraph"/>
      </w:pPr>
      <w:r>
        <w:rPr>
          <w:lang w:val="es-CO"/>
        </w:rPr>
        <w:t xml:space="preserve">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 </w:t>
      </w:r>
      <w:r>
        <w:rPr>
          <w:lang w:val="es-CO"/>
        </w:rPr>
        <w:t xml:space="preserve">y sus exportaciones son la versión vigente;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se conserva como respaldo histórico.</w:t>
      </w:r>
    </w:p>
    <w:p>
      <w:pPr>
        <w:pStyle w:val="Heading1"/>
      </w:pPr>
      <w:bookmarkStart w:id="52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52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TIENE_TELEFONO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53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53"/>
    </w:p>
    <w:p>
      <w:pPr>
        <w:pStyle w:val="CaptionedFigure"/>
      </w:pPr>
      <w:r>
        <w:drawing>
          <wp:inline>
            <wp:extent cx="5334000" cy="3255818"/>
            <wp:effectExtent b="0" l="0" r="0" t="0"/>
            <wp:docPr descr="Proceso de normalización de 0FN a 3FN" title="" id="55" name="Picture"/>
            <a:graphic>
              <a:graphicData uri="http://schemas.openxmlformats.org/drawingml/2006/picture">
                <pic:pic>
                  <pic:nvPicPr>
                    <pic:cNvPr descr="diagramas/png/27_Normalizacion_191116-24Oct202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2"/>
      </w:pPr>
      <w:bookmarkStart w:id="57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57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58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58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59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59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60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60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61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61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62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62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63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63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54" Type="http://schemas.openxmlformats.org/officeDocument/2006/relationships/image" Target="media/rId54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2026-10-25T00:13:12Z</dcterms:created>
  <dcterms:modified xsi:type="dcterms:W3CDTF">2026-10-25T00:13:12Z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