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44"/>
        </w:rPr>
        <w:t>Proyecto Final — Visualización de Datos</w:t>
      </w:r>
    </w:p>
    <w:p>
      <w:pPr>
        <w:jc w:val="center"/>
      </w:pPr>
      <w:r>
        <w:rPr>
          <w:color w:val="1F3A5F"/>
          <w:sz w:val="32"/>
        </w:rPr>
        <w:t>Segunda Entrega</w:t>
      </w:r>
    </w:p>
    <w:p>
      <w:pPr>
        <w:jc w:val="center"/>
      </w:pPr>
      <w:r>
        <w:rPr>
          <w:i/>
          <w:sz w:val="26"/>
        </w:rPr>
        <w:t>Dinámica de Precios de Alimentos Básicos en Colombia (2000–2025):</w:t>
        <w:br/>
        <w:t>Tendencias, Disparidades Regionales y Factores Económicos</w:t>
      </w:r>
    </w:p>
    <w:p/>
    <w:p>
      <w:pPr>
        <w:jc w:val="center"/>
      </w:pPr>
      <w:r>
        <w:rPr>
          <w:sz w:val="22"/>
        </w:rPr>
        <w:t>Elaborado por:</w:t>
      </w:r>
    </w:p>
    <w:p>
      <w:pPr>
        <w:jc w:val="center"/>
      </w:pPr>
      <w:r>
        <w:rPr>
          <w:sz w:val="22"/>
        </w:rPr>
        <w:t xml:space="preserve">    • Esteban Arroyave López</w:t>
      </w:r>
    </w:p>
    <w:p>
      <w:pPr>
        <w:jc w:val="center"/>
      </w:pPr>
      <w:r>
        <w:rPr>
          <w:sz w:val="22"/>
        </w:rPr>
        <w:t xml:space="preserve">    • Manuel Luna Alegría</w:t>
      </w:r>
    </w:p>
    <w:p>
      <w:pPr>
        <w:jc w:val="center"/>
      </w:pPr>
      <w:r>
        <w:rPr>
          <w:sz w:val="22"/>
        </w:rPr>
        <w:t xml:space="preserve">    • Nicol Sinisterra Gutiérrez</w:t>
      </w:r>
    </w:p>
    <w:p>
      <w:pPr>
        <w:jc w:val="center"/>
      </w:pPr>
      <w:r>
        <w:rPr>
          <w:sz w:val="22"/>
        </w:rPr>
      </w:r>
    </w:p>
    <w:p>
      <w:pPr>
        <w:jc w:val="center"/>
      </w:pPr>
      <w:r>
        <w:rPr>
          <w:sz w:val="22"/>
        </w:rPr>
        <w:t>Universidad Autónoma de Occidente</w:t>
      </w:r>
    </w:p>
    <w:p>
      <w:pPr>
        <w:jc w:val="center"/>
      </w:pPr>
      <w:r>
        <w:rPr>
          <w:sz w:val="22"/>
        </w:rPr>
        <w:t>Curso: Visualización de Datos</w:t>
      </w:r>
    </w:p>
    <w:p>
      <w:pPr>
        <w:jc w:val="center"/>
      </w:pPr>
      <w:r>
        <w:rPr>
          <w:sz w:val="22"/>
        </w:rPr>
        <w:t>Marzo 2026</w:t>
      </w:r>
    </w:p>
    <w:p>
      <w:pPr>
        <w:jc w:val="center"/>
      </w:pPr>
      <w:r>
        <w:rPr>
          <w:sz w:val="22"/>
        </w:rPr>
      </w:r>
    </w:p>
    <w:p>
      <w:pPr>
        <w:jc w:val="center"/>
      </w:pPr>
      <w:r>
        <w:rPr>
          <w:sz w:val="22"/>
        </w:rPr>
        <w:t>Repositorio: https://github.com/Estarlopez/UAO_VizPreciosAlimentosCol.git</w:t>
      </w:r>
    </w:p>
    <w:p>
      <w:r>
        <w:br w:type="page"/>
      </w:r>
    </w:p>
    <w:p>
      <w:pPr>
        <w:pStyle w:val="Heading1"/>
      </w:pPr>
      <w:r>
        <w:rPr>
          <w:color w:val="1F3A5F"/>
        </w:rPr>
        <w:t>1. Contexto del Negocio</w:t>
      </w:r>
    </w:p>
    <w:p>
      <w:r>
        <w:t>El Programa Mundial de Alimentos (WFP) de las Naciones Unidas monitorea sistemáticamente los precios de alimentos en mercados mayoristas y minoristas de Colombia desde el año 2000. Este monitoreo se realiza en coordinación con el Departamento Administrativo Nacional de Estadística (DANE) y el Ministerio de Agricultura, y constituye un pilar fundamental para la toma de decisiones en materia de seguridad alimentaria.</w:t>
      </w:r>
    </w:p>
    <w:p>
      <w:r>
        <w:t>Colombia presenta una geografía diversa con regiones de difícil acceso donde la cadena de suministro alimentario enfrenta retos logísticos significativos. La variabilidad de precios entre mercados refleja no solo dinámicas de oferta y demanda, sino también costos de transporte, fenómenos climáticos (El Niño/La Niña), crisis económicas y fluctuaciones cambiarias. En los últimos 25 años, el país ha experimentado eventos como la crisis económica de 2008, el fenómeno de El Niño de 2015-2016, la pandemia de COVID-19 (2020-2021) y una devaluación sostenida del peso frente al dólar, todos con impacto directo en los precios de la canasta básica.</w:t>
      </w:r>
    </w:p>
    <w:p>
      <w:r>
        <w:t>El dataset utilizado — WFP Food Prices for Colombia — contiene 39,263 observaciones de precios recopiladas mensualmente en 27 mercados distribuidos en 22 departamentos, cubriendo 86 productos alimentarios clasificados en 8 categorías. La moneda base es el peso colombiano (COP) con su equivalente en dólares estadounidenses (USD).</w:t>
      </w:r>
    </w:p>
    <w:p>
      <w:pPr>
        <w:pStyle w:val="Heading1"/>
      </w:pPr>
      <w:r>
        <w:rPr>
          <w:color w:val="1F3A5F"/>
        </w:rPr>
        <w:t>2. Pregunta de Negocio</w:t>
      </w:r>
    </w:p>
    <w:p>
      <w:pPr>
        <w:ind w:left="567" w:right="567"/>
      </w:pPr>
      <w:r>
        <w:rPr>
          <w:b/>
          <w:i/>
        </w:rPr>
        <w:t>¿Cómo han evolucionado los precios de los alimentos básicos en los principales mercados de Colombia durante los últimos 25 años, y qué patrones geográficos y estacionales pueden orientar las decisiones de política pública en seguridad alimentaria?</w:t>
      </w:r>
    </w:p>
    <w:p>
      <w:r>
        <w:t>Esta pregunta busca transformar un volumen masivo de datos de precios (39,263 registros × 16 variables) en información visual accionable que permita a los decisores:</w:t>
      </w:r>
    </w:p>
    <w:p>
      <w:pPr>
        <w:pStyle w:val="ListNumber"/>
      </w:pPr>
      <w:r>
        <w:t>Identificar tendencias de largo plazo en la inflación alimentaria;</w:t>
      </w:r>
    </w:p>
    <w:p>
      <w:pPr>
        <w:pStyle w:val="ListNumber"/>
      </w:pPr>
      <w:r>
        <w:t>Detectar disparidades regionales que requieran intervención;</w:t>
      </w:r>
    </w:p>
    <w:p>
      <w:pPr>
        <w:pStyle w:val="ListNumber"/>
      </w:pPr>
      <w:r>
        <w:t>Anticipar ciclos estacionales para planificar compras y subsidios;</w:t>
      </w:r>
    </w:p>
    <w:p>
      <w:pPr>
        <w:pStyle w:val="ListNumber"/>
      </w:pPr>
      <w:r>
        <w:t>Evaluar el impacto de eventos macroeconómicos en la canasta básica.</w:t>
      </w:r>
    </w:p>
    <w:p>
      <w:pPr>
        <w:pStyle w:val="Heading1"/>
      </w:pPr>
      <w:r>
        <w:rPr>
          <w:color w:val="1F3A5F"/>
        </w:rPr>
        <w:t>3. Actores Decisores</w:t>
      </w:r>
    </w:p>
    <w:p>
      <w:r>
        <w:t>Los usuarios objetivo del dashboard y sus necesidades específicas son:</w:t>
      </w:r>
    </w:p>
    <w:p>
      <w:pPr>
        <w:pStyle w:val="ListBullet"/>
      </w:pPr>
      <w:r>
        <w:rPr>
          <w:b/>
        </w:rPr>
        <w:t>Directores de seguridad alimentaria (WFP Colombia):</w:t>
      </w:r>
      <w:r>
        <w:t xml:space="preserve"> Necesitan identificar rápidamente qué regiones y períodos presentan alzas críticas de precios para priorizar la asignación de recursos de asistencia alimentaria. El dashboard les permite filtrar por departamento y categoría de alimento para focalizar intervenciones.</w:t>
      </w:r>
    </w:p>
    <w:p>
      <w:pPr>
        <w:pStyle w:val="ListBullet"/>
      </w:pPr>
      <w:r>
        <w:rPr>
          <w:b/>
        </w:rPr>
        <w:t>Analistas del Ministerio de Agricultura:</w:t>
      </w:r>
      <w:r>
        <w:t xml:space="preserve"> Requieren monitorear la volatilidad de precios por producto y mercado para diseñar políticas de subsidios, controles de precios o regulación de importaciones/exportaciones. La comparación temporal y geográfica les permite evaluar el impacto de políticas vigentes.</w:t>
      </w:r>
    </w:p>
    <w:p>
      <w:pPr>
        <w:pStyle w:val="ListBullet"/>
      </w:pPr>
      <w:r>
        <w:rPr>
          <w:b/>
        </w:rPr>
        <w:t>Gobiernos departamentales:</w:t>
      </w:r>
      <w:r>
        <w:t xml:space="preserve"> Buscan identificar disparidades de precios entre su región y el promedio nacional para justificar inversiones en infraestructura de distribución y cadenas de abastecimiento locales.</w:t>
      </w:r>
    </w:p>
    <w:p>
      <w:r>
        <w:t>Todos estos actores comparten una característica: son perfiles no técnicos que necesitan visualizaciones claras y narrativas visuales — no modelos estadísticos complejos — para tomar decisiones oportunas.</w:t>
      </w:r>
    </w:p>
    <w:p>
      <w:pPr>
        <w:pStyle w:val="Heading1"/>
      </w:pPr>
      <w:r>
        <w:rPr>
          <w:color w:val="1F3A5F"/>
        </w:rPr>
        <w:t>4. Justificación del Uso de Analítica Visual</w:t>
      </w:r>
    </w:p>
    <w:p>
      <w:r>
        <w:t>La analítica visual es particularmente pertinente para este problema por cuatro razones:</w:t>
      </w:r>
    </w:p>
    <w:p>
      <w:r>
        <w:rPr>
          <w:b/>
        </w:rPr>
        <w:t xml:space="preserve">Dimensionalidad temporal y geográfica. </w:t>
      </w:r>
      <w:r>
        <w:t>Con 25 años de datos (2000–2025), 27 mercados en 22 departamentos y 86 productos, las tablas numéricas resultan insuficientes para identificar tendencias y anomalías. Una sola tabla de precios promedio por mercado y año tendría más de 675 filas — imposible de procesar cognitivamente sin representación visual. Las visualizaciones interactivas permiten explorar múltiples dimensiones simultáneamente.</w:t>
      </w:r>
    </w:p>
    <w:p>
      <w:r>
        <w:rPr>
          <w:b/>
        </w:rPr>
        <w:t xml:space="preserve">Detección de patrones estacionales. </w:t>
      </w:r>
      <w:r>
        <w:t>Los precios de alimentos presentan ciclos que solo son evidentes al visualizar series temporales superpuestas. Un dashboard permite superponer años y detectar patrones recurrentes frente a eventos atípicos, algo que una tabla de promedios mensuales no logra.</w:t>
      </w:r>
    </w:p>
    <w:p>
      <w:r>
        <w:rPr>
          <w:b/>
        </w:rPr>
        <w:t xml:space="preserve">Comparación simultánea entre mercados. </w:t>
      </w:r>
      <w:r>
        <w:t>La variación geográfica de precios requiere representaciones que permitan comparar los 27 mercados de forma simultánea, facilitado por codificaciones de color, facetas y tooltips interactivos.</w:t>
      </w:r>
    </w:p>
    <w:p>
      <w:r>
        <w:rPr>
          <w:b/>
        </w:rPr>
        <w:t xml:space="preserve">Comunicación a stakeholders no técnicos. </w:t>
      </w:r>
      <w:r>
        <w:t>Los funcionarios públicos necesitan visualizaciones claras y narrativas visuales — no modelos estadísticos complejos — para tomar decisiones oportunas. Siguiendo los principios de Tufte (2001) sobre la maximización del ratio datos-tinta, las visualizaciones propuestas priorizan la claridad y la densidad informativa.</w:t>
      </w:r>
    </w:p>
    <w:p>
      <w:pPr>
        <w:pStyle w:val="Heading1"/>
      </w:pPr>
      <w:r>
        <w:rPr>
          <w:color w:val="1F3A5F"/>
        </w:rPr>
        <w:t>5. Traducción de la Pregunta de Negocio a Hipótesis Cuantitativas</w:t>
      </w:r>
    </w:p>
    <w:p>
      <w:r>
        <w:t>A partir de la pregunta de negocio, se formularon cinco hipótesis en la primera entrega. Tras la fase de exploración de datos en Python (utilizando Plotly, Seaborn y Altair), se refinan de la siguiente manera para guiar la selección de visualizaciones del dashboard:</w:t>
      </w:r>
    </w:p>
    <w:p>
      <w:r>
        <w:rPr>
          <w:b/>
        </w:rPr>
        <w:t xml:space="preserve">H1 — Tendencia temporal inflacionaria. </w:t>
      </w:r>
      <w:r>
        <w:t xml:space="preserve">Los precios de alimentos básicos (arroz, maíz, papa) han mostrado una tendencia creciente sostenida en COP, con períodos de alta volatilidad asociados a fenómenos climáticos (El Niño/La Niña) y crisis económicas (COVID-19, devaluación del peso). </w:t>
      </w:r>
      <w:r>
        <w:rPr>
          <w:i/>
        </w:rPr>
        <w:t>Operacionalización: serie temporal del precio promedio mensual por categoría, con anotaciones de eventos macroeconómicos. Visualización: gráfico de líneas con eje temporal.</w:t>
      </w:r>
    </w:p>
    <w:p>
      <w:r>
        <w:rPr>
          <w:b/>
        </w:rPr>
        <w:t xml:space="preserve">H2 — Disparidad regional de precios. </w:t>
      </w:r>
      <w:r>
        <w:t xml:space="preserve">Existen diferencias significativas de precios entre mercados del interior (Bogotá, Medellín) y mercados periféricos (Buenaventura, Florencia), reflejando costos de transporte y acceso desigual a cadenas de suministro. </w:t>
      </w:r>
      <w:r>
        <w:rPr>
          <w:i/>
        </w:rPr>
        <w:t>Operacionalización: comparación del precio promedio por mercado para productos seleccionados. Visualización: barras horizontales ordenadas y mapa geográfico con codificación de color.</w:t>
      </w:r>
    </w:p>
    <w:p>
      <w:r>
        <w:rPr>
          <w:b/>
        </w:rPr>
        <w:t xml:space="preserve">H3 — Estacionalidad diferenciada por categoría. </w:t>
      </w:r>
      <w:r>
        <w:t xml:space="preserve">Las frutas y verduras presentan ciclos estacionales más pronunciados que los cereales, con picos de precio en meses específicos que se repiten anualmente. </w:t>
      </w:r>
      <w:r>
        <w:rPr>
          <w:i/>
        </w:rPr>
        <w:t>Operacionalización: precio promedio por mes y categoría, agrupando años para revelar patrones cíclicos. Visualización: mapa de calor (heatmap) mes × categoría.</w:t>
      </w:r>
    </w:p>
    <w:p>
      <w:r>
        <w:rPr>
          <w:b/>
        </w:rPr>
        <w:t xml:space="preserve">H4 — Composición de la canasta por categoría. </w:t>
      </w:r>
      <w:r>
        <w:t xml:space="preserve">La participación de cada categoría alimentaria en el volumen de registros y en el nivel de precios varía significativamente: vegetales y frutas representan el 35.6% de los registros pero tienen la mediana de precio más baja (~2,164 COP/KG), mientras que carnes, pescado y huevos representan solo el 14.9% pero tienen la mediana más alta (~13,021 COP/KG). </w:t>
      </w:r>
      <w:r>
        <w:rPr>
          <w:i/>
        </w:rPr>
        <w:t>Operacionalización: distribución de precios y proporción de registros por categoría. Visualización: gráficos de barras apiladas y boxplots comparativos.</w:t>
      </w:r>
    </w:p>
    <w:p>
      <w:r>
        <w:rPr>
          <w:b/>
        </w:rPr>
        <w:t xml:space="preserve">H5 — Impacto cambiario diferenciado. </w:t>
      </w:r>
      <w:r>
        <w:t xml:space="preserve">La comparación entre precios en COP y USD revela que productos importados (trigo, lentejas) son más sensibles a la tasa de cambio que productos de producción local (yuca, plátano). </w:t>
      </w:r>
      <w:r>
        <w:rPr>
          <w:i/>
        </w:rPr>
        <w:t>Operacionalización: evolución temporal paralela de precio COP y precio USD para productos seleccionados. Visualización: líneas duales con doble eje.</w:t>
      </w:r>
    </w:p>
    <w:p>
      <w:pPr>
        <w:ind w:left="567"/>
      </w:pPr>
      <w:r>
        <w:rPr>
          <w:b/>
        </w:rPr>
        <w:t xml:space="preserve">Nota sobre H4 original (Mayorista vs. Minorista): </w:t>
      </w:r>
      <w:r>
        <w:t>La exploración de datos reveló que el dataset es 99.8% mayorista (Wholesale), con solo 67 registros minoristas (Retail) correspondientes exclusivamente a la categoría non-food (salarios jornaleros). Por tanto, la hipótesis original de brecha mayorista-minorista se reformuló como análisis de composición por categoría, que aporta mayor valor analítico al dashboard.</w:t>
      </w:r>
    </w:p>
    <w:p>
      <w:pPr>
        <w:pStyle w:val="Heading1"/>
      </w:pPr>
      <w:r>
        <w:rPr>
          <w:color w:val="1F3A5F"/>
        </w:rPr>
        <w:t>6. Definición de Datos, Variables y Comprensión de su Comportamiento</w:t>
      </w:r>
    </w:p>
    <w:p>
      <w:pPr>
        <w:pStyle w:val="Heading2"/>
      </w:pPr>
      <w:r>
        <w:rPr>
          <w:color w:val="1F3A5F"/>
        </w:rPr>
        <w:t>6.1 Ficha Técnica del Dataset</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Parámetro</w:t>
            </w:r>
          </w:p>
        </w:tc>
        <w:tc>
          <w:tcPr>
            <w:tcW w:type="dxa" w:w="4703"/>
          </w:tcPr>
          <w:p>
            <w:r>
              <w:rPr>
                <w:b/>
                <w:sz w:val="20"/>
              </w:rPr>
              <w:t>Valor</w:t>
            </w:r>
          </w:p>
        </w:tc>
      </w:tr>
      <w:tr>
        <w:tc>
          <w:tcPr>
            <w:tcW w:type="dxa" w:w="4703"/>
          </w:tcPr>
          <w:p>
            <w:r>
              <w:rPr>
                <w:sz w:val="20"/>
              </w:rPr>
              <w:t>Fuente</w:t>
            </w:r>
          </w:p>
        </w:tc>
        <w:tc>
          <w:tcPr>
            <w:tcW w:type="dxa" w:w="4703"/>
          </w:tcPr>
          <w:p>
            <w:r>
              <w:rPr>
                <w:sz w:val="20"/>
              </w:rPr>
              <w:t>WFP — Humanitarian Data Exchange (HDX)</w:t>
            </w:r>
          </w:p>
        </w:tc>
      </w:tr>
      <w:tr>
        <w:tc>
          <w:tcPr>
            <w:tcW w:type="dxa" w:w="4703"/>
          </w:tcPr>
          <w:p>
            <w:r>
              <w:rPr>
                <w:sz w:val="20"/>
              </w:rPr>
              <w:t>URL</w:t>
            </w:r>
          </w:p>
        </w:tc>
        <w:tc>
          <w:tcPr>
            <w:tcW w:type="dxa" w:w="4703"/>
          </w:tcPr>
          <w:p>
            <w:r>
              <w:rPr>
                <w:sz w:val="20"/>
              </w:rPr>
              <w:t>data.humdata.org/dataset/wfp-food-prices-for-colombia</w:t>
            </w:r>
          </w:p>
        </w:tc>
      </w:tr>
      <w:tr>
        <w:tc>
          <w:tcPr>
            <w:tcW w:type="dxa" w:w="4703"/>
          </w:tcPr>
          <w:p>
            <w:r>
              <w:rPr>
                <w:sz w:val="20"/>
              </w:rPr>
              <w:t>Período</w:t>
            </w:r>
          </w:p>
        </w:tc>
        <w:tc>
          <w:tcPr>
            <w:tcW w:type="dxa" w:w="4703"/>
          </w:tcPr>
          <w:p>
            <w:r>
              <w:rPr>
                <w:sz w:val="20"/>
              </w:rPr>
              <w:t>Enero 2000 — Noviembre 2025 (25 años)</w:t>
            </w:r>
          </w:p>
        </w:tc>
      </w:tr>
      <w:tr>
        <w:tc>
          <w:tcPr>
            <w:tcW w:type="dxa" w:w="4703"/>
          </w:tcPr>
          <w:p>
            <w:r>
              <w:rPr>
                <w:sz w:val="20"/>
              </w:rPr>
              <w:t>Registros</w:t>
            </w:r>
          </w:p>
        </w:tc>
        <w:tc>
          <w:tcPr>
            <w:tcW w:type="dxa" w:w="4703"/>
          </w:tcPr>
          <w:p>
            <w:r>
              <w:rPr>
                <w:sz w:val="20"/>
              </w:rPr>
              <w:t>39,263 observaciones</w:t>
            </w:r>
          </w:p>
        </w:tc>
      </w:tr>
      <w:tr>
        <w:tc>
          <w:tcPr>
            <w:tcW w:type="dxa" w:w="4703"/>
          </w:tcPr>
          <w:p>
            <w:r>
              <w:rPr>
                <w:sz w:val="20"/>
              </w:rPr>
              <w:t>Variables</w:t>
            </w:r>
          </w:p>
        </w:tc>
        <w:tc>
          <w:tcPr>
            <w:tcW w:type="dxa" w:w="4703"/>
          </w:tcPr>
          <w:p>
            <w:r>
              <w:rPr>
                <w:sz w:val="20"/>
              </w:rPr>
              <w:t>16 columnas</w:t>
            </w:r>
          </w:p>
        </w:tc>
      </w:tr>
      <w:tr>
        <w:tc>
          <w:tcPr>
            <w:tcW w:type="dxa" w:w="4703"/>
          </w:tcPr>
          <w:p>
            <w:r>
              <w:rPr>
                <w:sz w:val="20"/>
              </w:rPr>
              <w:t>Valores nulos</w:t>
            </w:r>
          </w:p>
        </w:tc>
        <w:tc>
          <w:tcPr>
            <w:tcW w:type="dxa" w:w="4703"/>
          </w:tcPr>
          <w:p>
            <w:r>
              <w:rPr>
                <w:sz w:val="20"/>
              </w:rPr>
              <w:t>0 (dataset completo, sin faltantes)</w:t>
            </w:r>
          </w:p>
        </w:tc>
      </w:tr>
      <w:tr>
        <w:tc>
          <w:tcPr>
            <w:tcW w:type="dxa" w:w="4703"/>
          </w:tcPr>
          <w:p>
            <w:r>
              <w:rPr>
                <w:sz w:val="20"/>
              </w:rPr>
              <w:t>Cobertura geográfica</w:t>
            </w:r>
          </w:p>
        </w:tc>
        <w:tc>
          <w:tcPr>
            <w:tcW w:type="dxa" w:w="4703"/>
          </w:tcPr>
          <w:p>
            <w:r>
              <w:rPr>
                <w:sz w:val="20"/>
              </w:rPr>
              <w:t>22 departamentos, 27 mercados</w:t>
            </w:r>
          </w:p>
        </w:tc>
      </w:tr>
      <w:tr>
        <w:tc>
          <w:tcPr>
            <w:tcW w:type="dxa" w:w="4703"/>
          </w:tcPr>
          <w:p>
            <w:r>
              <w:rPr>
                <w:sz w:val="20"/>
              </w:rPr>
              <w:t>Productos</w:t>
            </w:r>
          </w:p>
        </w:tc>
        <w:tc>
          <w:tcPr>
            <w:tcW w:type="dxa" w:w="4703"/>
          </w:tcPr>
          <w:p>
            <w:r>
              <w:rPr>
                <w:sz w:val="20"/>
              </w:rPr>
              <w:t>86 commodities en 8 categorías</w:t>
            </w:r>
          </w:p>
        </w:tc>
      </w:tr>
      <w:tr>
        <w:tc>
          <w:tcPr>
            <w:tcW w:type="dxa" w:w="4703"/>
          </w:tcPr>
          <w:p>
            <w:r>
              <w:rPr>
                <w:sz w:val="20"/>
              </w:rPr>
              <w:t>Moneda</w:t>
            </w:r>
          </w:p>
        </w:tc>
        <w:tc>
          <w:tcPr>
            <w:tcW w:type="dxa" w:w="4703"/>
          </w:tcPr>
          <w:p>
            <w:r>
              <w:rPr>
                <w:sz w:val="20"/>
              </w:rPr>
              <w:t>COP (con equivalente en USD)</w:t>
            </w:r>
          </w:p>
        </w:tc>
      </w:tr>
      <w:tr>
        <w:tc>
          <w:tcPr>
            <w:tcW w:type="dxa" w:w="4703"/>
          </w:tcPr>
          <w:p>
            <w:r>
              <w:rPr>
                <w:sz w:val="20"/>
              </w:rPr>
              <w:t>Frecuencia</w:t>
            </w:r>
          </w:p>
        </w:tc>
        <w:tc>
          <w:tcPr>
            <w:tcW w:type="dxa" w:w="4703"/>
          </w:tcPr>
          <w:p>
            <w:r>
              <w:rPr>
                <w:sz w:val="20"/>
              </w:rPr>
              <w:t>Mensual (día 15 de cada mes)</w:t>
            </w:r>
          </w:p>
        </w:tc>
      </w:tr>
      <w:tr>
        <w:tc>
          <w:tcPr>
            <w:tcW w:type="dxa" w:w="4703"/>
          </w:tcPr>
          <w:p>
            <w:r>
              <w:rPr>
                <w:sz w:val="20"/>
              </w:rPr>
              <w:t>Diccionario de datos</w:t>
            </w:r>
          </w:p>
        </w:tc>
        <w:tc>
          <w:tcPr>
            <w:tcW w:type="dxa" w:w="4703"/>
          </w:tcPr>
          <w:p>
            <w:r>
              <w:rPr>
                <w:sz w:val="20"/>
              </w:rPr>
              <w:t>github.com/Estarlopez/UAO_VizPreciosAlimentosCol</w:t>
            </w:r>
          </w:p>
        </w:tc>
      </w:tr>
    </w:tbl>
    <w:p/>
    <w:p>
      <w:pPr>
        <w:pStyle w:val="Heading2"/>
      </w:pPr>
      <w:r>
        <w:rPr>
          <w:color w:val="1F3A5F"/>
        </w:rPr>
        <w:t>6.2 Variables Utilizadas</w:t>
      </w:r>
    </w:p>
    <w:p>
      <w:r>
        <w:t>Las 16 variables se clasifican en tres grupos funcionales, consistente con lo presentado en la primera entrega:</w:t>
      </w:r>
    </w:p>
    <w:p>
      <w:r>
        <w:rPr>
          <w:b/>
        </w:rPr>
        <w:t>Variables de ubicación (6):</w:t>
      </w:r>
    </w:p>
    <w:p>
      <w:pPr>
        <w:pStyle w:val="ListBullet"/>
      </w:pPr>
      <w:r>
        <w:t>date: Fecha de registro mensual (formato YYYY-MM-DD, siempre día 15). 302 fechas únicas.</w:t>
      </w:r>
    </w:p>
    <w:p>
      <w:pPr>
        <w:pStyle w:val="ListBullet"/>
      </w:pPr>
      <w:r>
        <w:t>admin1: Departamento (22 únicos). Bogotá D.C. (12.9%), Antioquia (10.7%), Valle del Cauca (10.2%).</w:t>
      </w:r>
    </w:p>
    <w:p>
      <w:pPr>
        <w:pStyle w:val="ListBullet"/>
      </w:pPr>
      <w:r>
        <w:t>admin2: Municipio o distrito (27 únicos).</w:t>
      </w:r>
    </w:p>
    <w:p>
      <w:pPr>
        <w:pStyle w:val="ListBullet"/>
      </w:pPr>
      <w:r>
        <w:t>market: Nombre del mercado. Bogotá (12.9%), Medellín (10.6%), Bucaramanga (6.0%), Barranquilla (5.2%).</w:t>
      </w:r>
    </w:p>
    <w:p>
      <w:pPr>
        <w:pStyle w:val="ListBullet"/>
      </w:pPr>
      <w:r>
        <w:t>latitude / longitude: Coordenadas geográficas del mercado en grados decimales.</w:t>
      </w:r>
    </w:p>
    <w:p>
      <w:r>
        <w:rPr>
          <w:b/>
        </w:rPr>
        <w:t>Variables del producto (5):</w:t>
      </w:r>
    </w:p>
    <w:p>
      <w:pPr>
        <w:pStyle w:val="ListBullet"/>
      </w:pPr>
      <w:r>
        <w:t>category: Categoría alimentaria (8 únicas). Vegetables and fruits (35.6%), cereals and tubers (25.7%), meat, fish and eggs (14.9%), miscellaneous food (9.2%), entre otras.</w:t>
      </w:r>
    </w:p>
    <w:p>
      <w:pPr>
        <w:pStyle w:val="ListBullet"/>
      </w:pPr>
      <w:r>
        <w:t>commodity: Producto específico (86 únicos). Más frecuentes: Wheat flour (1,610), Rice high quality (1,438), Maize white (1,172).</w:t>
      </w:r>
    </w:p>
    <w:p>
      <w:pPr>
        <w:pStyle w:val="ListBullet"/>
      </w:pPr>
      <w:r>
        <w:t>commodity_id / market_id: Identificadores numéricos del sistema WFP.</w:t>
      </w:r>
    </w:p>
    <w:p>
      <w:pPr>
        <w:pStyle w:val="ListBullet"/>
      </w:pPr>
      <w:r>
        <w:t>unit: Unidad de medida. KG domina con 91.8%; también MT, Libra, Galón y unidades especiales.</w:t>
      </w:r>
    </w:p>
    <w:p>
      <w:r>
        <w:rPr>
          <w:b/>
        </w:rPr>
        <w:t>Variables de precio (5):</w:t>
      </w:r>
    </w:p>
    <w:p>
      <w:pPr>
        <w:pStyle w:val="ListBullet"/>
      </w:pPr>
      <w:r>
        <w:t>priceflag: Tipo de dato — aggregate (75.8%), actual (24.1%) o actual,aggregate (0.1%).</w:t>
      </w:r>
    </w:p>
    <w:p>
      <w:pPr>
        <w:pStyle w:val="ListBullet"/>
      </w:pPr>
      <w:r>
        <w:t>pricetype: Nivel de la cadena — Wholesale (99.8%) o Retail (0.2%, solo non-food).</w:t>
      </w:r>
    </w:p>
    <w:p>
      <w:pPr>
        <w:pStyle w:val="ListBullet"/>
      </w:pPr>
      <w:r>
        <w:t>currency: Moneda — 100% COP (pesos colombianos).</w:t>
      </w:r>
    </w:p>
    <w:p>
      <w:pPr>
        <w:pStyle w:val="ListBullet"/>
      </w:pPr>
      <w:r>
        <w:t>price: Precio en COP. Rango: 104 — 3,533,333. Media: 25,384. Mediana: 3,038.</w:t>
      </w:r>
    </w:p>
    <w:p>
      <w:pPr>
        <w:pStyle w:val="ListBullet"/>
      </w:pPr>
      <w:r>
        <w:t>usdprice: Precio equivalente en dólares estadounidenses.</w:t>
      </w:r>
    </w:p>
    <w:p>
      <w:pPr>
        <w:pStyle w:val="Heading2"/>
      </w:pPr>
      <w:r>
        <w:rPr>
          <w:color w:val="1F3A5F"/>
        </w:rPr>
        <w:t>6.3 Categorías de Alimentos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Categoría</w:t>
            </w:r>
          </w:p>
        </w:tc>
        <w:tc>
          <w:tcPr>
            <w:tcW w:type="dxa" w:w="2351"/>
          </w:tcPr>
          <w:p>
            <w:r>
              <w:rPr>
                <w:b/>
                <w:sz w:val="20"/>
              </w:rPr>
              <w:t>Ejemplos de productos</w:t>
            </w:r>
          </w:p>
        </w:tc>
        <w:tc>
          <w:tcPr>
            <w:tcW w:type="dxa" w:w="2351"/>
          </w:tcPr>
          <w:p>
            <w:r>
              <w:rPr>
                <w:b/>
                <w:sz w:val="20"/>
              </w:rPr>
              <w:t>% registros</w:t>
            </w:r>
          </w:p>
        </w:tc>
        <w:tc>
          <w:tcPr>
            <w:tcW w:type="dxa" w:w="2351"/>
          </w:tcPr>
          <w:p>
            <w:r>
              <w:rPr>
                <w:b/>
                <w:sz w:val="20"/>
              </w:rPr>
              <w:t>Mediana (COP)</w:t>
            </w:r>
          </w:p>
        </w:tc>
      </w:tr>
      <w:tr>
        <w:tc>
          <w:tcPr>
            <w:tcW w:type="dxa" w:w="2351"/>
          </w:tcPr>
          <w:p>
            <w:r>
              <w:rPr>
                <w:sz w:val="20"/>
              </w:rPr>
              <w:t>Cereales y tubérculos</w:t>
            </w:r>
          </w:p>
        </w:tc>
        <w:tc>
          <w:tcPr>
            <w:tcW w:type="dxa" w:w="2351"/>
          </w:tcPr>
          <w:p>
            <w:r>
              <w:rPr>
                <w:sz w:val="20"/>
              </w:rPr>
              <w:t>Arroz, maíz, trigo, papa, yuca, plátano</w:t>
            </w:r>
          </w:p>
        </w:tc>
        <w:tc>
          <w:tcPr>
            <w:tcW w:type="dxa" w:w="2351"/>
          </w:tcPr>
          <w:p>
            <w:r>
              <w:rPr>
                <w:sz w:val="20"/>
              </w:rPr>
              <w:t>25.7%</w:t>
            </w:r>
          </w:p>
        </w:tc>
        <w:tc>
          <w:tcPr>
            <w:tcW w:type="dxa" w:w="2351"/>
          </w:tcPr>
          <w:p>
            <w:r>
              <w:rPr>
                <w:sz w:val="20"/>
              </w:rPr>
              <w:t>~2,500</w:t>
            </w:r>
          </w:p>
        </w:tc>
      </w:tr>
      <w:tr>
        <w:tc>
          <w:tcPr>
            <w:tcW w:type="dxa" w:w="2351"/>
          </w:tcPr>
          <w:p>
            <w:r>
              <w:rPr>
                <w:sz w:val="20"/>
              </w:rPr>
              <w:t>Carnes, pescado y huevos</w:t>
            </w:r>
          </w:p>
        </w:tc>
        <w:tc>
          <w:tcPr>
            <w:tcW w:type="dxa" w:w="2351"/>
          </w:tcPr>
          <w:p>
            <w:r>
              <w:rPr>
                <w:sz w:val="20"/>
              </w:rPr>
              <w:t>Res, pollo, cerdo, tilapia, huevos</w:t>
            </w:r>
          </w:p>
        </w:tc>
        <w:tc>
          <w:tcPr>
            <w:tcW w:type="dxa" w:w="2351"/>
          </w:tcPr>
          <w:p>
            <w:r>
              <w:rPr>
                <w:sz w:val="20"/>
              </w:rPr>
              <w:t>14.9%</w:t>
            </w:r>
          </w:p>
        </w:tc>
        <w:tc>
          <w:tcPr>
            <w:tcW w:type="dxa" w:w="2351"/>
          </w:tcPr>
          <w:p>
            <w:r>
              <w:rPr>
                <w:sz w:val="20"/>
              </w:rPr>
              <w:t>~13,021</w:t>
            </w:r>
          </w:p>
        </w:tc>
      </w:tr>
      <w:tr>
        <w:tc>
          <w:tcPr>
            <w:tcW w:type="dxa" w:w="2351"/>
          </w:tcPr>
          <w:p>
            <w:r>
              <w:rPr>
                <w:sz w:val="20"/>
              </w:rPr>
              <w:t>Leche y lácteos</w:t>
            </w:r>
          </w:p>
        </w:tc>
        <w:tc>
          <w:tcPr>
            <w:tcW w:type="dxa" w:w="2351"/>
          </w:tcPr>
          <w:p>
            <w:r>
              <w:rPr>
                <w:sz w:val="20"/>
              </w:rPr>
              <w:t>Leche pasteurizada, en polvo, queso</w:t>
            </w:r>
          </w:p>
        </w:tc>
        <w:tc>
          <w:tcPr>
            <w:tcW w:type="dxa" w:w="2351"/>
          </w:tcPr>
          <w:p>
            <w:r>
              <w:rPr>
                <w:sz w:val="20"/>
              </w:rPr>
              <w:t>4.3%</w:t>
            </w:r>
          </w:p>
        </w:tc>
        <w:tc>
          <w:tcPr>
            <w:tcW w:type="dxa" w:w="2351"/>
          </w:tcPr>
          <w:p>
            <w:r>
              <w:rPr>
                <w:sz w:val="20"/>
              </w:rPr>
              <w:t>~5,800</w:t>
            </w:r>
          </w:p>
        </w:tc>
      </w:tr>
      <w:tr>
        <w:tc>
          <w:tcPr>
            <w:tcW w:type="dxa" w:w="2351"/>
          </w:tcPr>
          <w:p>
            <w:r>
              <w:rPr>
                <w:sz w:val="20"/>
              </w:rPr>
              <w:t>Frutas y verduras</w:t>
            </w:r>
          </w:p>
        </w:tc>
        <w:tc>
          <w:tcPr>
            <w:tcW w:type="dxa" w:w="2351"/>
          </w:tcPr>
          <w:p>
            <w:r>
              <w:rPr>
                <w:sz w:val="20"/>
              </w:rPr>
              <w:t>Tomate, cebolla, zanahoria, naranja, mango</w:t>
            </w:r>
          </w:p>
        </w:tc>
        <w:tc>
          <w:tcPr>
            <w:tcW w:type="dxa" w:w="2351"/>
          </w:tcPr>
          <w:p>
            <w:r>
              <w:rPr>
                <w:sz w:val="20"/>
              </w:rPr>
              <w:t>35.6%</w:t>
            </w:r>
          </w:p>
        </w:tc>
        <w:tc>
          <w:tcPr>
            <w:tcW w:type="dxa" w:w="2351"/>
          </w:tcPr>
          <w:p>
            <w:r>
              <w:rPr>
                <w:sz w:val="20"/>
              </w:rPr>
              <w:t>~2,164</w:t>
            </w:r>
          </w:p>
        </w:tc>
      </w:tr>
      <w:tr>
        <w:tc>
          <w:tcPr>
            <w:tcW w:type="dxa" w:w="2351"/>
          </w:tcPr>
          <w:p>
            <w:r>
              <w:rPr>
                <w:sz w:val="20"/>
              </w:rPr>
              <w:t>Leguminosas y nueces</w:t>
            </w:r>
          </w:p>
        </w:tc>
        <w:tc>
          <w:tcPr>
            <w:tcW w:type="dxa" w:w="2351"/>
          </w:tcPr>
          <w:p>
            <w:r>
              <w:rPr>
                <w:sz w:val="20"/>
              </w:rPr>
              <w:t>Fríjol, lenteja, garbanzo, arveja</w:t>
            </w:r>
          </w:p>
        </w:tc>
        <w:tc>
          <w:tcPr>
            <w:tcW w:type="dxa" w:w="2351"/>
          </w:tcPr>
          <w:p>
            <w:r>
              <w:rPr>
                <w:sz w:val="20"/>
              </w:rPr>
              <w:t>6.0%</w:t>
            </w:r>
          </w:p>
        </w:tc>
        <w:tc>
          <w:tcPr>
            <w:tcW w:type="dxa" w:w="2351"/>
          </w:tcPr>
          <w:p>
            <w:r>
              <w:rPr>
                <w:sz w:val="20"/>
              </w:rPr>
              <w:t>~4,200</w:t>
            </w:r>
          </w:p>
        </w:tc>
      </w:tr>
      <w:tr>
        <w:tc>
          <w:tcPr>
            <w:tcW w:type="dxa" w:w="2351"/>
          </w:tcPr>
          <w:p>
            <w:r>
              <w:rPr>
                <w:sz w:val="20"/>
              </w:rPr>
              <w:t>Aceites y grasas</w:t>
            </w:r>
          </w:p>
        </w:tc>
        <w:tc>
          <w:tcPr>
            <w:tcW w:type="dxa" w:w="2351"/>
          </w:tcPr>
          <w:p>
            <w:r>
              <w:rPr>
                <w:sz w:val="20"/>
              </w:rPr>
              <w:t>Aceite vegetal, aceite de girasol</w:t>
            </w:r>
          </w:p>
        </w:tc>
        <w:tc>
          <w:tcPr>
            <w:tcW w:type="dxa" w:w="2351"/>
          </w:tcPr>
          <w:p>
            <w:r>
              <w:rPr>
                <w:sz w:val="20"/>
              </w:rPr>
              <w:t>3.2%</w:t>
            </w:r>
          </w:p>
        </w:tc>
        <w:tc>
          <w:tcPr>
            <w:tcW w:type="dxa" w:w="2351"/>
          </w:tcPr>
          <w:p>
            <w:r>
              <w:rPr>
                <w:sz w:val="20"/>
              </w:rPr>
              <w:t>~7,500</w:t>
            </w:r>
          </w:p>
        </w:tc>
      </w:tr>
      <w:tr>
        <w:tc>
          <w:tcPr>
            <w:tcW w:type="dxa" w:w="2351"/>
          </w:tcPr>
          <w:p>
            <w:r>
              <w:rPr>
                <w:sz w:val="20"/>
              </w:rPr>
              <w:t>Misceláneos</w:t>
            </w:r>
          </w:p>
        </w:tc>
        <w:tc>
          <w:tcPr>
            <w:tcW w:type="dxa" w:w="2351"/>
          </w:tcPr>
          <w:p>
            <w:r>
              <w:rPr>
                <w:sz w:val="20"/>
              </w:rPr>
              <w:t>Azúcar, sal, café, cacao, pasta</w:t>
            </w:r>
          </w:p>
        </w:tc>
        <w:tc>
          <w:tcPr>
            <w:tcW w:type="dxa" w:w="2351"/>
          </w:tcPr>
          <w:p>
            <w:r>
              <w:rPr>
                <w:sz w:val="20"/>
              </w:rPr>
              <w:t>9.2%</w:t>
            </w:r>
          </w:p>
        </w:tc>
        <w:tc>
          <w:tcPr>
            <w:tcW w:type="dxa" w:w="2351"/>
          </w:tcPr>
          <w:p>
            <w:r>
              <w:rPr>
                <w:sz w:val="20"/>
              </w:rPr>
              <w:t>~3,400</w:t>
            </w:r>
          </w:p>
        </w:tc>
      </w:tr>
      <w:tr>
        <w:tc>
          <w:tcPr>
            <w:tcW w:type="dxa" w:w="2351"/>
          </w:tcPr>
          <w:p>
            <w:r>
              <w:rPr>
                <w:sz w:val="20"/>
              </w:rPr>
              <w:t>No-alimentos</w:t>
            </w:r>
          </w:p>
        </w:tc>
        <w:tc>
          <w:tcPr>
            <w:tcW w:type="dxa" w:w="2351"/>
          </w:tcPr>
          <w:p>
            <w:r>
              <w:rPr>
                <w:sz w:val="20"/>
              </w:rPr>
              <w:t>Diesel, gasolina, salario jornalero</w:t>
            </w:r>
          </w:p>
        </w:tc>
        <w:tc>
          <w:tcPr>
            <w:tcW w:type="dxa" w:w="2351"/>
          </w:tcPr>
          <w:p>
            <w:r>
              <w:rPr>
                <w:sz w:val="20"/>
              </w:rPr>
              <w:t>1.0%</w:t>
            </w:r>
          </w:p>
        </w:tc>
        <w:tc>
          <w:tcPr>
            <w:tcW w:type="dxa" w:w="2351"/>
          </w:tcPr>
          <w:p>
            <w:r>
              <w:rPr>
                <w:sz w:val="20"/>
              </w:rPr>
              <w:t>~124,088</w:t>
            </w:r>
          </w:p>
        </w:tc>
      </w:tr>
    </w:tbl>
    <w:p/>
    <w:p>
      <w:pPr>
        <w:pStyle w:val="Heading2"/>
      </w:pPr>
      <w:r>
        <w:rPr>
          <w:color w:val="1F3A5F"/>
        </w:rPr>
        <w:t>6.4 Comportamiento Observado de los Datos</w:t>
      </w:r>
    </w:p>
    <w:p>
      <w:r>
        <w:rPr>
          <w:b/>
        </w:rPr>
        <w:t xml:space="preserve">Crecimiento del volumen de datos. </w:t>
      </w:r>
      <w:r>
        <w:t>El monitoreo del WFP en Colombia creció significativamente: de ~100 registros anuales (2000–2004) a ~300–460 (2005–2011), y luego se expandió a más de 4,000–6,400 registros anuales desde 2020. Esta expansión refleja la incorporación progresiva de más mercados y productos al sistema.</w:t>
      </w:r>
    </w:p>
    <w:p>
      <w:r>
        <w:rPr>
          <w:b/>
        </w:rPr>
        <w:t xml:space="preserve">Distribución de precios. </w:t>
      </w:r>
      <w:r>
        <w:t>La distribución de price presenta un sesgo positivo fuerte (media: 25,384 COP vs. mediana: 3,038 COP), explicado por la heterogeneidad de unidades de medida y por productos de alto valor como carnes y lácteos.</w:t>
      </w:r>
    </w:p>
    <w:p>
      <w:r>
        <w:rPr>
          <w:b/>
        </w:rPr>
        <w:t xml:space="preserve">Precios por categoría. </w:t>
      </w:r>
      <w:r>
        <w:t>Carnes, pescado y huevos es la categoría más costosa (mediana ~13,021 COP/KG), mientras que vegetales y frutas es la más económica (mediana ~2,164 COP/KG). La categoría non-food incluye salarios jornaleros (~124,088 COP promedio).</w:t>
      </w:r>
    </w:p>
    <w:p>
      <w:r>
        <w:rPr>
          <w:b/>
        </w:rPr>
        <w:t xml:space="preserve">Transición metodológica. </w:t>
      </w:r>
      <w:r>
        <w:t>Los registros anteriores a 2012 son predominantemente de tipo actual (observación directa), mientras que desde 2012–2013 predomina aggregate. Esta transición coincide con la ampliación del monitoreo.</w:t>
      </w:r>
    </w:p>
    <w:p>
      <w:r>
        <w:rPr>
          <w:b/>
        </w:rPr>
        <w:t xml:space="preserve">Cobertura geográfica desigual. </w:t>
      </w:r>
      <w:r>
        <w:t>Los mercados con mayor cantidad de registros son Bogotá (5,072), Medellín (4,173) y Bucaramanga (2,353), mientras que mercados menores como San Vicente (56) y Villeta (35) tienen cobertura limitada.</w:t>
      </w:r>
    </w:p>
    <w:p>
      <w:pPr>
        <w:pStyle w:val="Heading1"/>
      </w:pPr>
      <w:r>
        <w:rPr>
          <w:color w:val="1F3A5F"/>
        </w:rPr>
        <w:t>7. Justificación de las Visualizaciones Escogidas</w:t>
      </w:r>
    </w:p>
    <w:p>
      <w:r>
        <w:t>Como se planteó en la primera entrega, el proceso de visualización siguió dos fases: una fase exploratoria en Python (usando Plotly, Seaborn y Altair/Vega-Lite) para evaluar las hipótesis e identificar patrones emergentes, y una fase de construcción del dashboard en Power BI para comunicar los hallazgos de forma interactiva. Cada visualización fue seleccionada aplicando los principios de Gestalt para la percepción visual y los principios de Tufte para la integridad y eficiencia de la representación.</w:t>
      </w:r>
    </w:p>
    <w:p>
      <w:pPr>
        <w:pStyle w:val="Heading2"/>
      </w:pPr>
      <w:r>
        <w:rPr>
          <w:color w:val="1F3A5F"/>
        </w:rPr>
        <w:t>7.1 Principios de Gestalt Aplicados</w:t>
      </w:r>
    </w:p>
    <w:p>
      <w:r>
        <w:t>Los principios de Gestalt, estudiados en el curso, guían cómo el sistema visual humano organiza elementos en conjuntos coherentes. Su aplicación en el dashboard:</w:t>
      </w:r>
    </w:p>
    <w:p>
      <w:pPr>
        <w:pStyle w:val="ListBullet"/>
      </w:pPr>
      <w:r>
        <w:rPr>
          <w:b/>
        </w:rPr>
        <w:t xml:space="preserve">Proximidad: </w:t>
      </w:r>
      <w:r>
        <w:t>En los gráficos de barras agrupados por mercado, las barras de una misma región se colocan adyacentes para que el usuario las perciba como un grupo, facilitando la comparación regional (H2). Los KPIs se agrupan en la parte superior formando un bloque visual unitario.</w:t>
      </w:r>
    </w:p>
    <w:p>
      <w:pPr>
        <w:pStyle w:val="ListBullet"/>
      </w:pPr>
      <w:r>
        <w:rPr>
          <w:b/>
        </w:rPr>
        <w:t xml:space="preserve">Similitud: </w:t>
      </w:r>
      <w:r>
        <w:t>Se usa un esquema de color consistente donde cada categoría de alimento mantiene el mismo color en todas las páginas del dashboard. Los elementos del mismo tipo (tarjetas, gráficos, filtros) comparten formato visual.</w:t>
      </w:r>
    </w:p>
    <w:p>
      <w:pPr>
        <w:pStyle w:val="ListBullet"/>
      </w:pPr>
      <w:r>
        <w:rPr>
          <w:b/>
        </w:rPr>
        <w:t xml:space="preserve">Continuidad: </w:t>
      </w:r>
      <w:r>
        <w:t>Las series temporales (H1) aprovechan la tendencia del ojo a seguir líneas continuas, permitiendo la detección natural de tendencias, rupturas y puntos de inflexión en los precios.</w:t>
      </w:r>
    </w:p>
    <w:p>
      <w:pPr>
        <w:pStyle w:val="ListBullet"/>
      </w:pPr>
      <w:r>
        <w:rPr>
          <w:b/>
        </w:rPr>
        <w:t xml:space="preserve">Cierre: </w:t>
      </w:r>
      <w:r>
        <w:t>En los mapas de calor estacionales (H3), las celdas adyacentes forman patrones que el ojo completa perceptualmente, revelando ciclos estacionales que no serían evidentes en datos puntuales aislados.</w:t>
      </w:r>
    </w:p>
    <w:p>
      <w:pPr>
        <w:pStyle w:val="ListBullet"/>
      </w:pPr>
      <w:r>
        <w:rPr>
          <w:b/>
        </w:rPr>
        <w:t xml:space="preserve">Figura-fondo: </w:t>
      </w:r>
      <w:r>
        <w:t>Se usa un fondo neutro (blanco o gris muy claro) para que los elementos de datos (barras, líneas, puntos de color) destaquen como figura principal.</w:t>
      </w:r>
    </w:p>
    <w:p>
      <w:pPr>
        <w:pStyle w:val="Heading2"/>
      </w:pPr>
      <w:r>
        <w:rPr>
          <w:color w:val="1F3A5F"/>
        </w:rPr>
        <w:t>7.2 Principios de Tufte Aplicados</w:t>
      </w:r>
    </w:p>
    <w:p>
      <w:r>
        <w:t>Edward Tufte (2001) en The Visual Display of Quantitative Information establece directrices para la integridad y eficiencia de las visualizaciones:</w:t>
      </w:r>
    </w:p>
    <w:p>
      <w:pPr>
        <w:pStyle w:val="ListBullet"/>
      </w:pPr>
      <w:r>
        <w:rPr>
          <w:b/>
        </w:rPr>
        <w:t xml:space="preserve">Maximización del ratio datos-tinta: </w:t>
      </w:r>
      <w:r>
        <w:t>Se eliminan bordes innecesarios, fondos decorativos, líneas de cuadrícula redundantes y efectos 3D. Cada elemento visual codifica información.</w:t>
      </w:r>
    </w:p>
    <w:p>
      <w:pPr>
        <w:pStyle w:val="ListBullet"/>
      </w:pPr>
      <w:r>
        <w:rPr>
          <w:b/>
        </w:rPr>
        <w:t xml:space="preserve">Eliminación de chartjunk: </w:t>
      </w:r>
      <w:r>
        <w:t>No se usan gradientes decorativos, sombras ni iconografía ornamental que no aporte datos. Las etiquetas se colocan directamente sobre los datos.</w:t>
      </w:r>
    </w:p>
    <w:p>
      <w:pPr>
        <w:pStyle w:val="ListBullet"/>
      </w:pPr>
      <w:r>
        <w:rPr>
          <w:b/>
        </w:rPr>
        <w:t xml:space="preserve">Small multiples: </w:t>
      </w:r>
      <w:r>
        <w:t>Para la comparación entre categorías y mercados, se usan facetas que permiten comparar patrones manteniendo las mismas escalas y encodings.</w:t>
      </w:r>
    </w:p>
    <w:p>
      <w:pPr>
        <w:pStyle w:val="ListBullet"/>
      </w:pPr>
      <w:r>
        <w:rPr>
          <w:b/>
        </w:rPr>
        <w:t xml:space="preserve">Integridad gráfica: </w:t>
      </w:r>
      <w:r>
        <w:t>Las escalas comienzan en cero cuando la magnitud absoluta es relevante (barras), y se usan escalas ajustadas solo cuando el interés es la variación relativa (series temporales), indicándolo claramente al usuario.</w:t>
      </w:r>
    </w:p>
    <w:p>
      <w:pPr>
        <w:pStyle w:val="Heading2"/>
      </w:pPr>
      <w:r>
        <w:rPr>
          <w:color w:val="1F3A5F"/>
        </w:rPr>
        <w:t>7.3 Atributos Preatentivos y Gramática de Gráficos</w:t>
      </w:r>
    </w:p>
    <w:p>
      <w:r>
        <w:t>Siguiendo la gramática de gráficos y la jerarquía de efectividad perceptual vista en clase, las codificaciones visuales se asignaron priorizando los canales más efectivos:</w:t>
      </w:r>
    </w:p>
    <w:p>
      <w:pPr>
        <w:pStyle w:val="ListBullet"/>
      </w:pPr>
      <w:r>
        <w:rPr>
          <w:b/>
        </w:rPr>
        <w:t xml:space="preserve">Posición (canal más efectivo): </w:t>
      </w:r>
      <w:r>
        <w:t>codifica las dos variables más importantes — típicamente tiempo (eje X) y precio (eje Y).</w:t>
      </w:r>
    </w:p>
    <w:p>
      <w:pPr>
        <w:pStyle w:val="ListBullet"/>
      </w:pPr>
      <w:r>
        <w:rPr>
          <w:b/>
        </w:rPr>
        <w:t xml:space="preserve">Longitud: </w:t>
      </w:r>
      <w:r>
        <w:t>en gráficos de barras, codifica la magnitud del precio para comparaciones exactas.</w:t>
      </w:r>
    </w:p>
    <w:p>
      <w:pPr>
        <w:pStyle w:val="ListBullet"/>
      </w:pPr>
      <w:r>
        <w:rPr>
          <w:b/>
        </w:rPr>
        <w:t xml:space="preserve">Color (tono): </w:t>
      </w:r>
      <w:r>
        <w:t>diferencia categorías de alimentos (variable nominal), con paleta de máximo 8 colores consistente en todo el dashboard.</w:t>
      </w:r>
    </w:p>
    <w:p>
      <w:pPr>
        <w:pStyle w:val="ListBullet"/>
      </w:pPr>
      <w:r>
        <w:rPr>
          <w:b/>
        </w:rPr>
        <w:t xml:space="preserve">Intensidad de color: </w:t>
      </w:r>
      <w:r>
        <w:t>en mapas de calor, la saturación codifica la magnitud del precio para detección rápida de valores extremos.</w:t>
      </w:r>
    </w:p>
    <w:p>
      <w:pPr>
        <w:pStyle w:val="Heading2"/>
      </w:pPr>
      <w:r>
        <w:rPr>
          <w:color w:val="1F3A5F"/>
        </w:rPr>
        <w:t>7.4 Tipos de Visualización y su Justificación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Visualización</w:t>
            </w:r>
          </w:p>
        </w:tc>
        <w:tc>
          <w:tcPr>
            <w:tcW w:type="dxa" w:w="3135"/>
          </w:tcPr>
          <w:p>
            <w:r>
              <w:rPr>
                <w:b/>
                <w:sz w:val="20"/>
              </w:rPr>
              <w:t>Hipótesis</w:t>
            </w:r>
          </w:p>
        </w:tc>
        <w:tc>
          <w:tcPr>
            <w:tcW w:type="dxa" w:w="3135"/>
          </w:tcPr>
          <w:p>
            <w:r>
              <w:rPr>
                <w:b/>
                <w:sz w:val="20"/>
              </w:rPr>
              <w:t>Justificación</w:t>
            </w:r>
          </w:p>
        </w:tc>
      </w:tr>
      <w:tr>
        <w:tc>
          <w:tcPr>
            <w:tcW w:type="dxa" w:w="3135"/>
          </w:tcPr>
          <w:p>
            <w:r>
              <w:rPr>
                <w:sz w:val="20"/>
              </w:rPr>
              <w:t>Línea temporal</w:t>
            </w:r>
          </w:p>
        </w:tc>
        <w:tc>
          <w:tcPr>
            <w:tcW w:type="dxa" w:w="3135"/>
          </w:tcPr>
          <w:p>
            <w:r>
              <w:rPr>
                <w:sz w:val="20"/>
              </w:rPr>
              <w:t>H1</w:t>
            </w:r>
          </w:p>
        </w:tc>
        <w:tc>
          <w:tcPr>
            <w:tcW w:type="dxa" w:w="3135"/>
          </w:tcPr>
          <w:p>
            <w:r>
              <w:rPr>
                <w:sz w:val="20"/>
              </w:rPr>
              <w:t>Ideal para datos temporales continuos. Posición vertical = precio, horizontal = tiempo. Detecta tendencias, ciclos y rupturas.</w:t>
            </w:r>
          </w:p>
        </w:tc>
      </w:tr>
      <w:tr>
        <w:tc>
          <w:tcPr>
            <w:tcW w:type="dxa" w:w="3135"/>
          </w:tcPr>
          <w:p>
            <w:r>
              <w:rPr>
                <w:sz w:val="20"/>
              </w:rPr>
              <w:t>Barras horizontales ordenadas</w:t>
            </w:r>
          </w:p>
        </w:tc>
        <w:tc>
          <w:tcPr>
            <w:tcW w:type="dxa" w:w="3135"/>
          </w:tcPr>
          <w:p>
            <w:r>
              <w:rPr>
                <w:sz w:val="20"/>
              </w:rPr>
              <w:t>H2</w:t>
            </w:r>
          </w:p>
        </w:tc>
        <w:tc>
          <w:tcPr>
            <w:tcW w:type="dxa" w:w="3135"/>
          </w:tcPr>
          <w:p>
            <w:r>
              <w:rPr>
                <w:sz w:val="20"/>
              </w:rPr>
              <w:t>La longitud es el atributo preatentivo más preciso para comparar magnitudes. Orden descendente facilita identificar extremos.</w:t>
            </w:r>
          </w:p>
        </w:tc>
      </w:tr>
      <w:tr>
        <w:tc>
          <w:tcPr>
            <w:tcW w:type="dxa" w:w="3135"/>
          </w:tcPr>
          <w:p>
            <w:r>
              <w:rPr>
                <w:sz w:val="20"/>
              </w:rPr>
              <w:t>Mapa de calor (heatmap)</w:t>
            </w:r>
          </w:p>
        </w:tc>
        <w:tc>
          <w:tcPr>
            <w:tcW w:type="dxa" w:w="3135"/>
          </w:tcPr>
          <w:p>
            <w:r>
              <w:rPr>
                <w:sz w:val="20"/>
              </w:rPr>
              <w:t>H3</w:t>
            </w:r>
          </w:p>
        </w:tc>
        <w:tc>
          <w:tcPr>
            <w:tcW w:type="dxa" w:w="3135"/>
          </w:tcPr>
          <w:p>
            <w:r>
              <w:rPr>
                <w:sz w:val="20"/>
              </w:rPr>
              <w:t>Intensidad de color codifica precio en matriz mes × categoría. Revela patrones estacionales. Aprovecha principio de cierre (Gestalt).</w:t>
            </w:r>
          </w:p>
        </w:tc>
      </w:tr>
      <w:tr>
        <w:tc>
          <w:tcPr>
            <w:tcW w:type="dxa" w:w="3135"/>
          </w:tcPr>
          <w:p>
            <w:r>
              <w:rPr>
                <w:sz w:val="20"/>
              </w:rPr>
              <w:t>Barras apiladas / boxplots</w:t>
            </w:r>
          </w:p>
        </w:tc>
        <w:tc>
          <w:tcPr>
            <w:tcW w:type="dxa" w:w="3135"/>
          </w:tcPr>
          <w:p>
            <w:r>
              <w:rPr>
                <w:sz w:val="20"/>
              </w:rPr>
              <w:t>H4</w:t>
            </w:r>
          </w:p>
        </w:tc>
        <w:tc>
          <w:tcPr>
            <w:tcW w:type="dxa" w:w="3135"/>
          </w:tcPr>
          <w:p>
            <w:r>
              <w:rPr>
                <w:sz w:val="20"/>
              </w:rPr>
              <w:t>Barras apiladas muestran composición proporcional. Boxplots comparan distribuciones: medianas, dispersión y outliers por categoría.</w:t>
            </w:r>
          </w:p>
        </w:tc>
      </w:tr>
      <w:tr>
        <w:tc>
          <w:tcPr>
            <w:tcW w:type="dxa" w:w="3135"/>
          </w:tcPr>
          <w:p>
            <w:r>
              <w:rPr>
                <w:sz w:val="20"/>
              </w:rPr>
              <w:t>Líneas duales (COP vs USD)</w:t>
            </w:r>
          </w:p>
        </w:tc>
        <w:tc>
          <w:tcPr>
            <w:tcW w:type="dxa" w:w="3135"/>
          </w:tcPr>
          <w:p>
            <w:r>
              <w:rPr>
                <w:sz w:val="20"/>
              </w:rPr>
              <w:t>H5</w:t>
            </w:r>
          </w:p>
        </w:tc>
        <w:tc>
          <w:tcPr>
            <w:tcW w:type="dxa" w:w="3135"/>
          </w:tcPr>
          <w:p>
            <w:r>
              <w:rPr>
                <w:sz w:val="20"/>
              </w:rPr>
              <w:t>Superposición de dos series en el mismo eje temporal detecta divergencias entre precio local y equivalente en dólares.</w:t>
            </w:r>
          </w:p>
        </w:tc>
      </w:tr>
      <w:tr>
        <w:tc>
          <w:tcPr>
            <w:tcW w:type="dxa" w:w="3135"/>
          </w:tcPr>
          <w:p>
            <w:r>
              <w:rPr>
                <w:sz w:val="20"/>
              </w:rPr>
              <w:t>KPIs / tarjetas</w:t>
            </w:r>
          </w:p>
        </w:tc>
        <w:tc>
          <w:tcPr>
            <w:tcW w:type="dxa" w:w="3135"/>
          </w:tcPr>
          <w:p>
            <w:r>
              <w:rPr>
                <w:sz w:val="20"/>
              </w:rPr>
              <w:t>General</w:t>
            </w:r>
          </w:p>
        </w:tc>
        <w:tc>
          <w:tcPr>
            <w:tcW w:type="dxa" w:w="3135"/>
          </w:tcPr>
          <w:p>
            <w:r>
              <w:rPr>
                <w:sz w:val="20"/>
              </w:rPr>
              <w:t>Números clave (precio promedio, variación %, mercados activos) proporcionan contexto inmediato al usuario.</w:t>
            </w:r>
          </w:p>
        </w:tc>
      </w:tr>
    </w:tbl>
    <w:p/>
    <w:p>
      <w:pPr>
        <w:pStyle w:val="Heading1"/>
      </w:pPr>
      <w:r>
        <w:rPr>
          <w:color w:val="1F3A5F"/>
        </w:rPr>
        <w:t>8. Formulación del Dashboard</w:t>
      </w:r>
    </w:p>
    <w:p>
      <w:r>
        <w:t>El dashboard en Power BI fue diseñado siguiendo dos marcos teóricos complementarios vistos en clase: los principios de Wexler, Shaffer y Cotgreave (2017) para la construcción funcional del tablero, y las 5 A's de Anderson (2024) para asegurar que el dashboard cumpla su propósito de invitar a la acción.</w:t>
      </w:r>
    </w:p>
    <w:p>
      <w:pPr>
        <w:pStyle w:val="Heading2"/>
      </w:pPr>
      <w:r>
        <w:rPr>
          <w:color w:val="1F3A5F"/>
        </w:rPr>
        <w:t>8.1 Principios de Wexler, Shaffer y Cotgreave (2017)</w:t>
      </w:r>
    </w:p>
    <w:p>
      <w:r>
        <w:t>El diseño sigue los seis principios de The Big Book of Dashboards:</w:t>
      </w:r>
    </w:p>
    <w:p>
      <w:r>
        <w:rPr>
          <w:b/>
        </w:rPr>
        <w:t xml:space="preserve">1. Métricas fáciles de observar y buscar. </w:t>
      </w:r>
      <w:r>
        <w:t>Los KPIs principales (precio promedio, variación interanual, número de mercados activos, total de registros) se ubican en la parte superior del dashboard como tarjetas destacadas, permitiendo lectura inmediata.</w:t>
      </w:r>
    </w:p>
    <w:p>
      <w:r>
        <w:rPr>
          <w:b/>
        </w:rPr>
        <w:t xml:space="preserve">2. Esquema de color simple y consistente. </w:t>
      </w:r>
      <w:r>
        <w:t>Paleta de máximo 8 colores (uno por categoría), consistente en todas las páginas. Tonos cálidos para categorías de alto precio, tonos fríos para las más económicas. Color de acento reservado para selecciones activas.</w:t>
      </w:r>
    </w:p>
    <w:p>
      <w:r>
        <w:rPr>
          <w:b/>
        </w:rPr>
        <w:t xml:space="preserve">3. Potencial interactivo. </w:t>
      </w:r>
      <w:r>
        <w:t>Segmentadores (slicers) por departamento, categoría, producto y rango de fechas que filtran todas las visualizaciones simultáneamente. Tooltips enriquecidos complementan sin sobrecargar la vista principal.</w:t>
      </w:r>
    </w:p>
    <w:p>
      <w:r>
        <w:rPr>
          <w:b/>
        </w:rPr>
        <w:t xml:space="preserve">4. El todo y las partes son claros. </w:t>
      </w:r>
      <w:r>
        <w:t>Estructura en páginas temáticas, cada una con propósito definido. Las visualizaciones se complementan sin redundancia: la vista general (KPIs) enmarca las visualizaciones detalladas (gráficos).</w:t>
      </w:r>
    </w:p>
    <w:p>
      <w:r>
        <w:rPr>
          <w:b/>
        </w:rPr>
        <w:t xml:space="preserve">5. Cuenta una historia. </w:t>
      </w:r>
      <w:r>
        <w:t>Navegación con flujo narrativo: panorama general → tendencias temporales → comparación regional → análisis por categoría → impacto cambiario.</w:t>
      </w:r>
    </w:p>
    <w:p>
      <w:r>
        <w:rPr>
          <w:b/>
        </w:rPr>
        <w:t xml:space="preserve">6. Buena experiencia de usuario. </w:t>
      </w:r>
      <w:r>
        <w:t>Títulos descriptivos, etiquetas legibles (mínimo 11pt), diseño con patrón de lectura en Z: elementos importantes arriba-izquierda, detalles complementarios abajo-derecha.</w:t>
      </w:r>
    </w:p>
    <w:p>
      <w:pPr>
        <w:pStyle w:val="Heading2"/>
      </w:pPr>
      <w:r>
        <w:rPr>
          <w:color w:val="1F3A5F"/>
        </w:rPr>
        <w:t>8.2 Marco de las 5 A's de Anderson (2024)</w:t>
      </w:r>
    </w:p>
    <w:p>
      <w:r>
        <w:t>El dashboard se diseña siguiendo el marco de Building Effective Dashboards:</w:t>
      </w:r>
    </w:p>
    <w:p>
      <w:pPr>
        <w:pStyle w:val="ListBullet"/>
      </w:pPr>
      <w:r>
        <w:rPr>
          <w:b/>
        </w:rPr>
        <w:t xml:space="preserve">Audiencia: </w:t>
      </w:r>
      <w:r>
        <w:t>Funcionarios de política pública y analistas del WFP con conocimiento del dominio pero sin formación técnica en análisis de datos. Las visualizaciones priorizan claridad sobre complejidad, evitando jerga estadística.</w:t>
      </w:r>
    </w:p>
    <w:p>
      <w:pPr>
        <w:pStyle w:val="ListBullet"/>
      </w:pPr>
      <w:r>
        <w:rPr>
          <w:b/>
        </w:rPr>
        <w:t xml:space="preserve">Automatización: </w:t>
      </w:r>
      <w:r>
        <w:t>El dashboard se conecta al archivo CSV del WFP mediante Power Query. Transformaciones documentadas y reproducibles. Para actualizar, basta reemplazar el archivo fuente y refrescar.</w:t>
      </w:r>
    </w:p>
    <w:p>
      <w:pPr>
        <w:pStyle w:val="ListBullet"/>
      </w:pPr>
      <w:r>
        <w:rPr>
          <w:b/>
        </w:rPr>
        <w:t xml:space="preserve">Accesibilidad: </w:t>
      </w:r>
      <w:r>
        <w:t>Tipografía mínimo 11pt, contraste suficiente (ratio mínimo 4.5:1), paleta diferenciable en escala de grises para accesibilidad en daltonismo.</w:t>
      </w:r>
    </w:p>
    <w:p>
      <w:pPr>
        <w:pStyle w:val="ListBullet"/>
      </w:pPr>
      <w:r>
        <w:rPr>
          <w:b/>
        </w:rPr>
        <w:t xml:space="preserve">Análisis: </w:t>
      </w:r>
      <w:r>
        <w:t>Cada página responde una hipótesis específica. Filtros cruzados (cross-filtering) permiten profundizar sin perder contexto general.</w:t>
      </w:r>
    </w:p>
    <w:p>
      <w:pPr>
        <w:pStyle w:val="ListBullet"/>
      </w:pPr>
      <w:r>
        <w:rPr>
          <w:b/>
        </w:rPr>
        <w:t xml:space="preserve">Acción: </w:t>
      </w:r>
      <w:r>
        <w:t>Indicadores de variación (flechas con porcentaje de cambio), formato condicional en rojo para precios sobre el promedio histórico, comparaciones que señalan regiones o productos que requieren atención inmediata.</w:t>
      </w:r>
    </w:p>
    <w:p>
      <w:pPr>
        <w:pStyle w:val="Heading2"/>
      </w:pPr>
      <w:r>
        <w:rPr>
          <w:color w:val="1F3A5F"/>
        </w:rPr>
        <w:t>8.3 Disposición del Dashboard</w:t>
      </w:r>
    </w:p>
    <w:p>
      <w:r>
        <w:t>Siguiendo la jerarquía de visualización y el patrón de lectura en Z, el dashboard se organiza en las siguientes páginas:</w:t>
      </w:r>
    </w:p>
    <w:p>
      <w:r>
        <w:rPr>
          <w:b/>
        </w:rPr>
        <w:t>Página 1 — Panorama General:</w:t>
      </w:r>
    </w:p>
    <w:p>
      <w:pPr>
        <w:pStyle w:val="ListBullet"/>
      </w:pPr>
      <w:r>
        <w:t>Fila superior: KPIs en tarjetas (precio promedio nacional, variación interanual %, número de mercados activos, rango temporal).</w:t>
      </w:r>
    </w:p>
    <w:p>
      <w:pPr>
        <w:pStyle w:val="ListBullet"/>
      </w:pPr>
      <w:r>
        <w:t>Centro: Serie temporal del precio promedio general con línea de tendencia (H1 a nivel macro).</w:t>
      </w:r>
    </w:p>
    <w:p>
      <w:pPr>
        <w:pStyle w:val="ListBullet"/>
      </w:pPr>
      <w:r>
        <w:t>Lateral derecho: Distribución por categoría de alimento en barras horizontales ordenadas (introduce H4).</w:t>
      </w:r>
    </w:p>
    <w:p>
      <w:pPr>
        <w:pStyle w:val="ListBullet"/>
      </w:pPr>
      <w:r>
        <w:t>Inferior: Filtros globales (segmentadores de departamento, categoría, rango de fechas).</w:t>
      </w:r>
    </w:p>
    <w:p>
      <w:r>
        <w:rPr>
          <w:b/>
        </w:rPr>
        <w:t>Página 2 — Análisis Regional (H2):</w:t>
      </w:r>
    </w:p>
    <w:p>
      <w:pPr>
        <w:pStyle w:val="ListBullet"/>
      </w:pPr>
      <w:r>
        <w:t>Superior: Mapa de Colombia con codificación de color por precio promedio departamental.</w:t>
      </w:r>
    </w:p>
    <w:p>
      <w:pPr>
        <w:pStyle w:val="ListBullet"/>
      </w:pPr>
      <w:r>
        <w:t>Inferior izquierda: Barras horizontales ordenadas de precio promedio por mercado.</w:t>
      </w:r>
    </w:p>
    <w:p>
      <w:pPr>
        <w:pStyle w:val="ListBullet"/>
      </w:pPr>
      <w:r>
        <w:t>Inferior derecha: Tabla de detalle con ranking de mercados por precio y variación.</w:t>
      </w:r>
    </w:p>
    <w:p>
      <w:r>
        <w:rPr>
          <w:b/>
        </w:rPr>
        <w:t>Página 3 — Tendencias, Estacionalidad e Impacto Cambiario (H1, H3, H5):</w:t>
      </w:r>
    </w:p>
    <w:p>
      <w:pPr>
        <w:pStyle w:val="ListBullet"/>
      </w:pPr>
      <w:r>
        <w:t>Superior: Series temporales por categoría (small multiples o líneas superpuestas con selector).</w:t>
      </w:r>
    </w:p>
    <w:p>
      <w:pPr>
        <w:pStyle w:val="ListBullet"/>
      </w:pPr>
      <w:r>
        <w:t>Centro: Mapa de calor de estacionalidad (mes × categoría) que revela patrones cíclicos (H3).</w:t>
      </w:r>
    </w:p>
    <w:p>
      <w:pPr>
        <w:pStyle w:val="ListBullet"/>
      </w:pPr>
      <w:r>
        <w:t>Inferior: Líneas duales COP vs USD para productos seleccionados (H5).</w:t>
      </w:r>
    </w:p>
    <w:p>
      <w:pPr>
        <w:pStyle w:val="Heading1"/>
      </w:pPr>
      <w:r>
        <w:rPr>
          <w:color w:val="1F3A5F"/>
        </w:rPr>
        <w:t>9. Aspectos de Reproducibilidad</w:t>
      </w:r>
    </w:p>
    <w:p>
      <w:pPr>
        <w:pStyle w:val="Heading2"/>
      </w:pPr>
      <w:r>
        <w:rPr>
          <w:color w:val="1F3A5F"/>
        </w:rPr>
        <w:t>9.1 Fuente de Datos</w:t>
      </w:r>
    </w:p>
    <w:p>
      <w:r>
        <w:t>El dataset puede descargarse directamente de la plataforma Humanitarian Data Exchange (data.humdata.org/dataset/wfp-food-prices-for-colombia) en formato CSV. Archivo: wfp_food_prices_col.csv (~4.8 MB).</w:t>
      </w:r>
    </w:p>
    <w:p>
      <w:pPr>
        <w:pStyle w:val="Heading2"/>
      </w:pPr>
      <w:r>
        <w:rPr>
          <w:color w:val="1F3A5F"/>
        </w:rPr>
        <w:t>9.2 Repositorio del Proyecto</w:t>
      </w:r>
    </w:p>
    <w:p>
      <w:r>
        <w:t>Todo el código, datos y documentación están disponibles en el repositorio de GitHub: https://github.com/Estarlopez/UAO_VizPreciosAlimentosCol.git</w:t>
      </w:r>
    </w:p>
    <w:p>
      <w:pPr>
        <w:pStyle w:val="ListBullet"/>
      </w:pPr>
      <w:r>
        <w:t>data/ — Archivo CSV del dataset WFP</w:t>
      </w:r>
    </w:p>
    <w:p>
      <w:pPr>
        <w:pStyle w:val="ListBullet"/>
      </w:pPr>
      <w:r>
        <w:t>notebooks/ — Notebook de análisis exploratorio en Python</w:t>
      </w:r>
    </w:p>
    <w:p>
      <w:pPr>
        <w:pStyle w:val="ListBullet"/>
      </w:pPr>
      <w:r>
        <w:t>Documentos/ — Entregas, enunciados y documentación del proyecto</w:t>
      </w:r>
    </w:p>
    <w:p>
      <w:pPr>
        <w:pStyle w:val="Heading2"/>
      </w:pPr>
      <w:r>
        <w:rPr>
          <w:color w:val="1F3A5F"/>
        </w:rPr>
        <w:t>9.3 Herramientas Utilizadas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Herramienta</w:t>
            </w:r>
          </w:p>
        </w:tc>
        <w:tc>
          <w:tcPr>
            <w:tcW w:type="dxa" w:w="4703"/>
          </w:tcPr>
          <w:p>
            <w:r>
              <w:rPr>
                <w:b/>
                <w:sz w:val="20"/>
              </w:rPr>
              <w:t>Propósito</w:t>
            </w:r>
          </w:p>
        </w:tc>
      </w:tr>
      <w:tr>
        <w:tc>
          <w:tcPr>
            <w:tcW w:type="dxa" w:w="4703"/>
          </w:tcPr>
          <w:p>
            <w:r>
              <w:rPr>
                <w:sz w:val="20"/>
              </w:rPr>
              <w:t>Python (Pandas, NumPy)</w:t>
            </w:r>
          </w:p>
        </w:tc>
        <w:tc>
          <w:tcPr>
            <w:tcW w:type="dxa" w:w="4703"/>
          </w:tcPr>
          <w:p>
            <w:r>
              <w:rPr>
                <w:sz w:val="20"/>
              </w:rPr>
              <w:t>Análisis exploratorio y manipulación de datos</w:t>
            </w:r>
          </w:p>
        </w:tc>
      </w:tr>
      <w:tr>
        <w:tc>
          <w:tcPr>
            <w:tcW w:type="dxa" w:w="4703"/>
          </w:tcPr>
          <w:p>
            <w:r>
              <w:rPr>
                <w:sz w:val="20"/>
              </w:rPr>
              <w:t>Plotly, Seaborn, Altair/Vega-Lite</w:t>
            </w:r>
          </w:p>
        </w:tc>
        <w:tc>
          <w:tcPr>
            <w:tcW w:type="dxa" w:w="4703"/>
          </w:tcPr>
          <w:p>
            <w:r>
              <w:rPr>
                <w:sz w:val="20"/>
              </w:rPr>
              <w:t>Visualizaciones exploratorias en fase de análisis</w:t>
            </w:r>
          </w:p>
        </w:tc>
      </w:tr>
      <w:tr>
        <w:tc>
          <w:tcPr>
            <w:tcW w:type="dxa" w:w="4703"/>
          </w:tcPr>
          <w:p>
            <w:r>
              <w:rPr>
                <w:sz w:val="20"/>
              </w:rPr>
              <w:t>Power BI Desktop</w:t>
            </w:r>
          </w:p>
        </w:tc>
        <w:tc>
          <w:tcPr>
            <w:tcW w:type="dxa" w:w="4703"/>
          </w:tcPr>
          <w:p>
            <w:r>
              <w:rPr>
                <w:sz w:val="20"/>
              </w:rPr>
              <w:t>Construcción del dashboard interactivo final</w:t>
            </w:r>
          </w:p>
        </w:tc>
      </w:tr>
      <w:tr>
        <w:tc>
          <w:tcPr>
            <w:tcW w:type="dxa" w:w="4703"/>
          </w:tcPr>
          <w:p>
            <w:r>
              <w:rPr>
                <w:sz w:val="20"/>
              </w:rPr>
              <w:t>Power Query (en Power BI)</w:t>
            </w:r>
          </w:p>
        </w:tc>
        <w:tc>
          <w:tcPr>
            <w:tcW w:type="dxa" w:w="4703"/>
          </w:tcPr>
          <w:p>
            <w:r>
              <w:rPr>
                <w:sz w:val="20"/>
              </w:rPr>
              <w:t>ETL: transformación y limpieza de datos</w:t>
            </w:r>
          </w:p>
        </w:tc>
      </w:tr>
    </w:tbl>
    <w:p/>
    <w:p>
      <w:pPr>
        <w:pStyle w:val="Heading2"/>
      </w:pPr>
      <w:r>
        <w:rPr>
          <w:color w:val="1F3A5F"/>
        </w:rPr>
        <w:t>9.4 Pasos para Replicar</w:t>
      </w:r>
    </w:p>
    <w:p>
      <w:pPr>
        <w:pStyle w:val="ListNumber"/>
      </w:pPr>
      <w:r>
        <w:t>Clonar el repositorio: git clone https://github.com/Estarlopez/UAO_VizPreciosAlimentosCol.git</w:t>
      </w:r>
    </w:p>
    <w:p>
      <w:pPr>
        <w:pStyle w:val="ListNumber"/>
      </w:pPr>
      <w:r>
        <w:t>Para la fase exploratoria: abrir notebooks/analisis.ipynb en Jupyter y ejecutar las celdas.</w:t>
      </w:r>
    </w:p>
    <w:p>
      <w:pPr>
        <w:pStyle w:val="ListNumber"/>
      </w:pPr>
      <w:r>
        <w:t>Para el dashboard: abrir Power BI Desktop.</w:t>
      </w:r>
    </w:p>
    <w:p>
      <w:pPr>
        <w:pStyle w:val="ListNumber"/>
      </w:pPr>
      <w:r>
        <w:t>Importar el CSV mediante Obtener datos → Texto/CSV, seleccionando data/wfp_food_prices_col.csv.</w:t>
      </w:r>
    </w:p>
    <w:p>
      <w:pPr>
        <w:pStyle w:val="ListNumber"/>
      </w:pPr>
      <w:r>
        <w:t>En Power Query: cambiar tipo de date a Fecha; crear columnas Año = Date.Year([date]) y Mes = Date.Month([date]); opcionalmente filtrar unit = "KG".</w:t>
      </w:r>
    </w:p>
    <w:p>
      <w:pPr>
        <w:pStyle w:val="ListNumber"/>
      </w:pPr>
      <w:r>
        <w:t>Cargar datos al modelo y construir visualizaciones según la disposición de la Sección 8.3.</w:t>
      </w:r>
    </w:p>
    <w:p>
      <w:pPr>
        <w:pStyle w:val="ListNumber"/>
      </w:pPr>
      <w:r>
        <w:t>Aplicar tema de color personalizado con paleta consistente de 8 colores por categoría.</w:t>
      </w:r>
    </w:p>
    <w:p>
      <w:pPr>
        <w:pStyle w:val="Heading2"/>
      </w:pPr>
      <w:r>
        <w:rPr>
          <w:color w:val="1F3A5F"/>
        </w:rPr>
        <w:t>9.5 Consideraciones sobre los Datos</w:t>
      </w:r>
    </w:p>
    <w:p>
      <w:pPr>
        <w:pStyle w:val="ListBullet"/>
      </w:pPr>
      <w:r>
        <w:rPr>
          <w:b/>
        </w:rPr>
        <w:t xml:space="preserve">Unidades de medida: </w:t>
      </w:r>
      <w:r>
        <w:t>El 91.8% de los registros usa KG. Para comparaciones entre productos, filtrar por unidad o normalizar precios por kilogramo. Los registros en MT corresponden principalmente a arroz y cereales (2012–2019).</w:t>
      </w:r>
    </w:p>
    <w:p>
      <w:pPr>
        <w:pStyle w:val="ListBullet"/>
      </w:pPr>
      <w:r>
        <w:rPr>
          <w:b/>
        </w:rPr>
        <w:t xml:space="preserve">Tipo de precio: </w:t>
      </w:r>
      <w:r>
        <w:t>El dataset es 99.8% mayorista. Los 67 registros minoristas son solo non-food (salarios jornaleros).</w:t>
      </w:r>
    </w:p>
    <w:p>
      <w:pPr>
        <w:pStyle w:val="ListBullet"/>
      </w:pPr>
      <w:r>
        <w:rPr>
          <w:b/>
        </w:rPr>
        <w:t xml:space="preserve">Evolución metodológica: </w:t>
      </w:r>
      <w:r>
        <w:t>Antes de 2012 predomina tipo actual; desde 2012 predomina aggregate. No invalida comparaciones temporales, pero considerar al interpretar cambios en variabilidad.</w:t>
      </w:r>
    </w:p>
    <w:p>
      <w:pPr>
        <w:pStyle w:val="ListBullet"/>
      </w:pPr>
      <w:r>
        <w:rPr>
          <w:b/>
        </w:rPr>
        <w:t xml:space="preserve">Cobertura desigual: </w:t>
      </w:r>
      <w:r>
        <w:t>Mercados pequeños (San Vicente: 56, Villeta: 35 registros) vs. Bogotá (5,072). Interpretar promedios regionales considerando esta desigualdad.</w:t>
      </w:r>
    </w:p>
    <w:p>
      <w:pPr>
        <w:pStyle w:val="Heading1"/>
      </w:pPr>
      <w:r>
        <w:rPr>
          <w:color w:val="1F3A5F"/>
        </w:rPr>
        <w:t>10. Referencias</w:t>
      </w:r>
    </w:p>
    <w:p>
      <w:pPr>
        <w:pStyle w:val="ListBullet"/>
      </w:pPr>
      <w:r>
        <w:t>Anderson, D. (2024). Building Effective Dashboards. The Data Ecosystem.</w:t>
      </w:r>
    </w:p>
    <w:p>
      <w:pPr>
        <w:pStyle w:val="ListBullet"/>
      </w:pPr>
      <w:r>
        <w:t>Cleveland, W. S. &amp; McGill, R. (1984). Graphical Perception: Theory, Experimentation, and Application to the Development of Graphical Methods. Journal of the American Statistical Association, 79(387), 531-554.</w:t>
      </w:r>
    </w:p>
    <w:p>
      <w:pPr>
        <w:pStyle w:val="ListBullet"/>
      </w:pPr>
      <w:r>
        <w:t>Niviora, J. (2023). Data Visualization Principles. SUNY Polytechnic Institute Class Notes.</w:t>
      </w:r>
    </w:p>
    <w:p>
      <w:pPr>
        <w:pStyle w:val="ListBullet"/>
      </w:pPr>
      <w:r>
        <w:t>Tufte, E. R. (2001). The Visual Display of Quantitative Information. Graphics Press, 2da ed.</w:t>
      </w:r>
    </w:p>
    <w:p>
      <w:pPr>
        <w:pStyle w:val="ListBullet"/>
      </w:pPr>
      <w:r>
        <w:t>Wexler, S., Shaffer, J. &amp; Cotgreave, A. (2017). The Big Book of Dashboards: Visualizing Your Data Using Real-World Business Scenarios. Wiley.</w:t>
      </w:r>
    </w:p>
    <w:p>
      <w:pPr>
        <w:pStyle w:val="ListBullet"/>
      </w:pPr>
      <w:r>
        <w:t>World Food Programme. WFP Food Prices for Colombia. Humanitarian Data Exchange. data.humdata.org/dataset/wfp-food-prices-for-colombia</w:t>
      </w:r>
    </w:p>
    <w:p>
      <w:pPr>
        <w:pStyle w:val="ListBullet"/>
      </w:pPr>
      <w:r>
        <w:t>Material del curso: Visualización de Datos — Universidad Autónoma de Occidente, 2026.</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999999"/>
        <w:sz w:val="16"/>
      </w:rPr>
      <w:t>Proyecto Final — Visualización de Datos</w:t>
    </w:r>
    <w:r>
      <w:rPr>
        <w:color w:val="999999"/>
        <w:sz w:val="16"/>
      </w:rPr>
      <w:tab/>
      <w:t>Universidad Autónoma de Occidente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