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2882" w14:textId="77777777" w:rsidR="00853DB5" w:rsidRDefault="00000000">
      <w:pPr>
        <w:spacing w:after="120"/>
        <w:jc w:val="center"/>
      </w:pPr>
      <w:r>
        <w:rPr>
          <w:rFonts w:ascii="Arial" w:eastAsia="Arial" w:hAnsi="Arial" w:cs="Arial"/>
          <w:b/>
          <w:bCs/>
          <w:sz w:val="26"/>
          <w:szCs w:val="26"/>
        </w:rPr>
        <w:t>Proyecto Ingeniería de Software basada en IAGen</w:t>
      </w:r>
    </w:p>
    <w:p w14:paraId="6910D559" w14:textId="77777777" w:rsidR="00853DB5" w:rsidRDefault="00000000">
      <w:pPr>
        <w:spacing w:after="400"/>
        <w:jc w:val="center"/>
      </w:pPr>
      <w:r>
        <w:rPr>
          <w:rFonts w:ascii="Arial" w:eastAsia="Arial" w:hAnsi="Arial" w:cs="Arial"/>
          <w:color w:val="595959"/>
          <w:sz w:val="22"/>
          <w:szCs w:val="22"/>
        </w:rPr>
        <w:t>Universidad de las Fuerzas Armadas ESPE</w:t>
      </w:r>
    </w:p>
    <w:p w14:paraId="45D5942B" w14:textId="77777777" w:rsidR="00853DB5" w:rsidRDefault="00000000">
      <w:pPr>
        <w:pStyle w:val="Ttulo1"/>
        <w:spacing w:before="360" w:after="200"/>
      </w:pPr>
      <w:r>
        <w:rPr>
          <w:rFonts w:ascii="Arial" w:eastAsia="Arial" w:hAnsi="Arial" w:cs="Arial"/>
          <w:b/>
          <w:bCs/>
          <w:color w:val="1F3864"/>
          <w:sz w:val="30"/>
          <w:szCs w:val="30"/>
        </w:rPr>
        <w:t>Capítulo 2. Análisis de requisitos con IAGen</w:t>
      </w:r>
    </w:p>
    <w:p w14:paraId="2DA2117C" w14:textId="77777777" w:rsidR="00853DB5" w:rsidRDefault="00000000">
      <w:pPr>
        <w:spacing w:after="200" w:line="276" w:lineRule="auto"/>
        <w:jc w:val="both"/>
      </w:pPr>
      <w:r>
        <w:rPr>
          <w:rFonts w:ascii="Arial" w:eastAsia="Arial" w:hAnsi="Arial" w:cs="Arial"/>
          <w:sz w:val="22"/>
          <w:szCs w:val="22"/>
        </w:rPr>
        <w:t xml:space="preserve">Este capítulo analiza cómo la Inteligencia Artificial Generativa (IAGen) transforma la arquitectura clásica de los sistemas de información, su integración con las plataformas empresariales y web, y el contexto organizacional del caso faro que sirve de hilo conductor al proyecto. Cada sección combina la explicación conceptual con la evidencia de la literatura reciente (Rother, 2025; Haki &amp; Safaei, 2024; </w:t>
      </w:r>
      <w:proofErr w:type="spellStart"/>
      <w:r>
        <w:rPr>
          <w:rFonts w:ascii="Arial" w:eastAsia="Arial" w:hAnsi="Arial" w:cs="Arial"/>
          <w:sz w:val="22"/>
          <w:szCs w:val="22"/>
        </w:rPr>
        <w:t>Jarzębowicz</w:t>
      </w:r>
      <w:proofErr w:type="spellEnd"/>
      <w:r>
        <w:rPr>
          <w:rFonts w:ascii="Arial" w:eastAsia="Arial" w:hAnsi="Arial" w:cs="Arial"/>
          <w:sz w:val="22"/>
          <w:szCs w:val="22"/>
        </w:rPr>
        <w:t xml:space="preserve"> et al., 2025; Wessel et al., 2025; Tewari et al., 2026) y cierra con una síntesis que condensa la idea central antes de avanzar al siguiente tema.</w:t>
      </w:r>
    </w:p>
    <w:p w14:paraId="3D85900C" w14:textId="77777777" w:rsidR="00853DB5" w:rsidRDefault="00000000">
      <w:pPr>
        <w:pStyle w:val="Ttulo2"/>
        <w:spacing w:before="300" w:after="160"/>
      </w:pPr>
      <w:r>
        <w:rPr>
          <w:rFonts w:ascii="Arial" w:eastAsia="Arial" w:hAnsi="Arial" w:cs="Arial"/>
          <w:b/>
          <w:bCs/>
          <w:color w:val="2E5395"/>
        </w:rPr>
        <w:t>2.1 Tipos de sistemas de información y contexto organizacional: TPS, OAS, KWS, MIS, DSS y sistemas expertos</w:t>
      </w:r>
    </w:p>
    <w:p w14:paraId="47F3F992" w14:textId="77777777" w:rsidR="00853DB5" w:rsidRDefault="00000000">
      <w:pPr>
        <w:spacing w:after="200" w:line="276" w:lineRule="auto"/>
        <w:jc w:val="both"/>
      </w:pPr>
      <w:r>
        <w:rPr>
          <w:rFonts w:ascii="Arial" w:eastAsia="Arial" w:hAnsi="Arial" w:cs="Arial"/>
          <w:sz w:val="22"/>
          <w:szCs w:val="22"/>
        </w:rPr>
        <w:t>La integración de la IAGen reconfigura la arquitectura tradicional de los Sistemas de Información (SI) dentro de la pirámide organizacional (Rother, 2025). Tradicionalmente, los TPS (</w:t>
      </w:r>
      <w:proofErr w:type="spellStart"/>
      <w:r>
        <w:rPr>
          <w:rFonts w:ascii="Arial" w:eastAsia="Arial" w:hAnsi="Arial" w:cs="Arial"/>
          <w:i/>
          <w:iCs/>
          <w:sz w:val="22"/>
          <w:szCs w:val="22"/>
        </w:rPr>
        <w:t>Transaction</w:t>
      </w:r>
      <w:proofErr w:type="spellEnd"/>
      <w:r>
        <w:rPr>
          <w:rFonts w:ascii="Arial" w:eastAsia="Arial" w:hAnsi="Arial" w:cs="Arial"/>
          <w:i/>
          <w:iCs/>
          <w:sz w:val="22"/>
          <w:szCs w:val="22"/>
        </w:rPr>
        <w:t xml:space="preserve"> Processing </w:t>
      </w:r>
      <w:proofErr w:type="spellStart"/>
      <w:r>
        <w:rPr>
          <w:rFonts w:ascii="Arial" w:eastAsia="Arial" w:hAnsi="Arial" w:cs="Arial"/>
          <w:i/>
          <w:iCs/>
          <w:sz w:val="22"/>
          <w:szCs w:val="22"/>
        </w:rPr>
        <w:t>Systems</w:t>
      </w:r>
      <w:proofErr w:type="spellEnd"/>
      <w:r>
        <w:rPr>
          <w:rFonts w:ascii="Arial" w:eastAsia="Arial" w:hAnsi="Arial" w:cs="Arial"/>
          <w:sz w:val="22"/>
          <w:szCs w:val="22"/>
        </w:rPr>
        <w:t>) y los OAS (</w:t>
      </w:r>
      <w:r>
        <w:rPr>
          <w:rFonts w:ascii="Arial" w:eastAsia="Arial" w:hAnsi="Arial" w:cs="Arial"/>
          <w:i/>
          <w:iCs/>
          <w:sz w:val="22"/>
          <w:szCs w:val="22"/>
        </w:rPr>
        <w:t xml:space="preserve">Office </w:t>
      </w:r>
      <w:proofErr w:type="spellStart"/>
      <w:r>
        <w:rPr>
          <w:rFonts w:ascii="Arial" w:eastAsia="Arial" w:hAnsi="Arial" w:cs="Arial"/>
          <w:i/>
          <w:iCs/>
          <w:sz w:val="22"/>
          <w:szCs w:val="22"/>
        </w:rPr>
        <w:t>Automation</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Systems</w:t>
      </w:r>
      <w:proofErr w:type="spellEnd"/>
      <w:r>
        <w:rPr>
          <w:rFonts w:ascii="Arial" w:eastAsia="Arial" w:hAnsi="Arial" w:cs="Arial"/>
          <w:sz w:val="22"/>
          <w:szCs w:val="22"/>
        </w:rPr>
        <w:t>) gestionaban transacciones estructuradas y tareas administrativas; sin embargo, con la llegada de los modelos de lenguaje de gran escala (LLM), estos sistemas se convierten en plataformas de ejecución autónoma capaces de procesar flujos de trabajo dinámicos, automatizar el soporte al usuario y orquestar la gestión documental (Rother, 2025). Los KWS (</w:t>
      </w:r>
      <w:r>
        <w:rPr>
          <w:rFonts w:ascii="Arial" w:eastAsia="Arial" w:hAnsi="Arial" w:cs="Arial"/>
          <w:i/>
          <w:iCs/>
          <w:sz w:val="22"/>
          <w:szCs w:val="22"/>
        </w:rPr>
        <w:t xml:space="preserve">Knowledge Work </w:t>
      </w:r>
      <w:proofErr w:type="spellStart"/>
      <w:r>
        <w:rPr>
          <w:rFonts w:ascii="Arial" w:eastAsia="Arial" w:hAnsi="Arial" w:cs="Arial"/>
          <w:i/>
          <w:iCs/>
          <w:sz w:val="22"/>
          <w:szCs w:val="22"/>
        </w:rPr>
        <w:t>Systems</w:t>
      </w:r>
      <w:proofErr w:type="spellEnd"/>
      <w:r>
        <w:rPr>
          <w:rFonts w:ascii="Arial" w:eastAsia="Arial" w:hAnsi="Arial" w:cs="Arial"/>
          <w:sz w:val="22"/>
          <w:szCs w:val="22"/>
        </w:rPr>
        <w:t>) evolucionan de forma más drástica: apoyan a desarrolladores e investigadores mediante la generación interactiva de código, la síntesis rápida de literatura técnica y la aceleración de prototipos de software (Rother, 2025).</w:t>
      </w:r>
    </w:p>
    <w:p w14:paraId="75BA2E60" w14:textId="77777777" w:rsidR="00853DB5" w:rsidRDefault="00000000">
      <w:pPr>
        <w:spacing w:after="200" w:line="276" w:lineRule="auto"/>
        <w:jc w:val="both"/>
      </w:pPr>
      <w:r>
        <w:rPr>
          <w:rFonts w:ascii="Arial" w:eastAsia="Arial" w:hAnsi="Arial" w:cs="Arial"/>
          <w:sz w:val="22"/>
          <w:szCs w:val="22"/>
        </w:rPr>
        <w:t xml:space="preserve">A nivel directivo, la IAGen reinterpreta también los MIS (Management </w:t>
      </w:r>
      <w:proofErr w:type="spellStart"/>
      <w:r>
        <w:rPr>
          <w:rFonts w:ascii="Arial" w:eastAsia="Arial" w:hAnsi="Arial" w:cs="Arial"/>
          <w:sz w:val="22"/>
          <w:szCs w:val="22"/>
        </w:rPr>
        <w:t>Information</w:t>
      </w:r>
      <w:proofErr w:type="spellEnd"/>
      <w:r>
        <w:rPr>
          <w:rFonts w:ascii="Arial" w:eastAsia="Arial" w:hAnsi="Arial" w:cs="Arial"/>
          <w:sz w:val="22"/>
          <w:szCs w:val="22"/>
        </w:rPr>
        <w:t xml:space="preserve"> </w:t>
      </w:r>
      <w:proofErr w:type="spellStart"/>
      <w:r>
        <w:rPr>
          <w:rFonts w:ascii="Arial" w:eastAsia="Arial" w:hAnsi="Arial" w:cs="Arial"/>
          <w:sz w:val="22"/>
          <w:szCs w:val="22"/>
        </w:rPr>
        <w:t>Systems</w:t>
      </w:r>
      <w:proofErr w:type="spellEnd"/>
      <w:r>
        <w:rPr>
          <w:rFonts w:ascii="Arial" w:eastAsia="Arial" w:hAnsi="Arial" w:cs="Arial"/>
          <w:sz w:val="22"/>
          <w:szCs w:val="22"/>
        </w:rPr>
        <w:t>), los DSS (</w:t>
      </w:r>
      <w:proofErr w:type="spellStart"/>
      <w:r>
        <w:rPr>
          <w:rFonts w:ascii="Arial" w:eastAsia="Arial" w:hAnsi="Arial" w:cs="Arial"/>
          <w:sz w:val="22"/>
          <w:szCs w:val="22"/>
        </w:rPr>
        <w:t>Decision</w:t>
      </w:r>
      <w:proofErr w:type="spellEnd"/>
      <w:r>
        <w:rPr>
          <w:rFonts w:ascii="Arial" w:eastAsia="Arial" w:hAnsi="Arial" w:cs="Arial"/>
          <w:sz w:val="22"/>
          <w:szCs w:val="22"/>
        </w:rPr>
        <w:t xml:space="preserve"> </w:t>
      </w:r>
      <w:proofErr w:type="spellStart"/>
      <w:r>
        <w:rPr>
          <w:rFonts w:ascii="Arial" w:eastAsia="Arial" w:hAnsi="Arial" w:cs="Arial"/>
          <w:sz w:val="22"/>
          <w:szCs w:val="22"/>
        </w:rPr>
        <w:t>Support</w:t>
      </w:r>
      <w:proofErr w:type="spellEnd"/>
      <w:r>
        <w:rPr>
          <w:rFonts w:ascii="Arial" w:eastAsia="Arial" w:hAnsi="Arial" w:cs="Arial"/>
          <w:sz w:val="22"/>
          <w:szCs w:val="22"/>
        </w:rPr>
        <w:t xml:space="preserve"> </w:t>
      </w:r>
      <w:proofErr w:type="spellStart"/>
      <w:r>
        <w:rPr>
          <w:rFonts w:ascii="Arial" w:eastAsia="Arial" w:hAnsi="Arial" w:cs="Arial"/>
          <w:sz w:val="22"/>
          <w:szCs w:val="22"/>
        </w:rPr>
        <w:t>Systems</w:t>
      </w:r>
      <w:proofErr w:type="spellEnd"/>
      <w:r>
        <w:rPr>
          <w:rFonts w:ascii="Arial" w:eastAsia="Arial" w:hAnsi="Arial" w:cs="Arial"/>
          <w:sz w:val="22"/>
          <w:szCs w:val="22"/>
        </w:rPr>
        <w:t>) y los sistemas expertos convencionales. En lugar de informes estáticos o reglas de inferencia rígidas basadas en lógica simbólica, la IAGen actúa como una interfaz conversacional e interactiva, capaz de analizar grandes volúmenes de datos no estructurados, generar escenarios explicativos en tiempo real y colaborar dinámicamente con los gestores de TI en la toma de decisiones estratégicas, la gestión de riesgos y la gobernanza organizacional (Rother, 2025). Este desplazamiento —de la regla fija a la interfaz conversacional— es el hilo que conecta a todos los niveles de la pirámide y que se retoma más adelante en la Figura 2.1.</w:t>
      </w:r>
    </w:p>
    <w:p w14:paraId="02921F00" w14:textId="77777777" w:rsidR="00853DB5" w:rsidRDefault="00000000">
      <w:pPr>
        <w:spacing w:before="240" w:after="40"/>
      </w:pPr>
      <w:r>
        <w:rPr>
          <w:rFonts w:ascii="Arial" w:eastAsia="Arial" w:hAnsi="Arial" w:cs="Arial"/>
          <w:b/>
          <w:bCs/>
          <w:sz w:val="22"/>
          <w:szCs w:val="22"/>
        </w:rPr>
        <w:t>Figura 2.1</w:t>
      </w:r>
    </w:p>
    <w:p w14:paraId="3ABBFBDF" w14:textId="77777777" w:rsidR="00853DB5" w:rsidRDefault="00000000">
      <w:pPr>
        <w:spacing w:after="120"/>
      </w:pPr>
      <w:r>
        <w:rPr>
          <w:rFonts w:ascii="Arial" w:eastAsia="Arial" w:hAnsi="Arial" w:cs="Arial"/>
          <w:i/>
          <w:iCs/>
          <w:sz w:val="22"/>
          <w:szCs w:val="22"/>
        </w:rPr>
        <w:t>Evolución de la Taxonomía de Sistemas de Información por IA Generativa</w:t>
      </w:r>
    </w:p>
    <w:p w14:paraId="58BA6EAF" w14:textId="77777777" w:rsidR="00853DB5" w:rsidRDefault="00000000">
      <w:pPr>
        <w:spacing w:after="100"/>
        <w:jc w:val="center"/>
      </w:pPr>
      <w:r>
        <w:rPr>
          <w:noProof/>
        </w:rPr>
        <w:lastRenderedPageBreak/>
        <w:drawing>
          <wp:inline distT="114300" distB="114300" distL="114300" distR="114300" wp14:anchorId="6E9B7464" wp14:editId="5CCD1DDE">
            <wp:extent cx="5943600" cy="5232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5232400"/>
                    </a:xfrm>
                    <a:prstGeom prst="rect">
                      <a:avLst/>
                    </a:prstGeom>
                    <a:ln/>
                  </pic:spPr>
                </pic:pic>
              </a:graphicData>
            </a:graphic>
          </wp:inline>
        </w:drawing>
      </w:r>
    </w:p>
    <w:p w14:paraId="033503CC" w14:textId="77777777" w:rsidR="00853DB5" w:rsidRDefault="00000000">
      <w:pPr>
        <w:spacing w:after="280"/>
        <w:jc w:val="both"/>
      </w:pPr>
      <w:r>
        <w:rPr>
          <w:rFonts w:ascii="Arial" w:eastAsia="Arial" w:hAnsi="Arial" w:cs="Arial"/>
          <w:i/>
          <w:iCs/>
        </w:rPr>
        <w:t xml:space="preserve">Nota. </w:t>
      </w:r>
      <w:r>
        <w:rPr>
          <w:rFonts w:ascii="Arial" w:eastAsia="Arial" w:hAnsi="Arial" w:cs="Arial"/>
        </w:rPr>
        <w:t>Adaptado de Rother (2025) y Jarzębowicz et al. (2025).</w:t>
      </w:r>
    </w:p>
    <w:p w14:paraId="23DF62E2" w14:textId="77777777" w:rsidR="00853DB5" w:rsidRDefault="00000000">
      <w:pPr>
        <w:pBdr>
          <w:left w:val="single" w:sz="12" w:space="8" w:color="2E5395"/>
        </w:pBdr>
        <w:shd w:val="clear" w:color="auto" w:fill="EEF2FA"/>
        <w:spacing w:before="80" w:after="240"/>
        <w:ind w:left="200" w:right="200"/>
        <w:jc w:val="both"/>
      </w:pPr>
      <w:r>
        <w:rPr>
          <w:rFonts w:ascii="Arial" w:eastAsia="Arial" w:hAnsi="Arial" w:cs="Arial"/>
          <w:b/>
          <w:bCs/>
          <w:i/>
          <w:iCs/>
          <w:sz w:val="22"/>
          <w:szCs w:val="22"/>
        </w:rPr>
        <w:t xml:space="preserve">Síntesis. </w:t>
      </w:r>
      <w:r>
        <w:rPr>
          <w:rFonts w:ascii="Arial" w:eastAsia="Arial" w:hAnsi="Arial" w:cs="Arial"/>
          <w:i/>
          <w:iCs/>
          <w:sz w:val="22"/>
          <w:szCs w:val="22"/>
        </w:rPr>
        <w:t>La IAGen no elimina la pirámide clásica de sistemas de información (TPS, OAS, KWS, MIS, DSS y sistemas expertos); la reinterpreta como una capa conversacional y autónoma que atraviesa todos los niveles, sustituyendo reglas fijas e informes estáticos por interacción dinámica en tiempo real (véase la jerarquía de la Figura 2.1).</w:t>
      </w:r>
    </w:p>
    <w:p w14:paraId="4BE12D4D" w14:textId="77777777" w:rsidR="00853DB5" w:rsidRDefault="00000000">
      <w:pPr>
        <w:pStyle w:val="Ttulo2"/>
        <w:spacing w:before="300" w:after="160"/>
      </w:pPr>
      <w:r>
        <w:rPr>
          <w:rFonts w:ascii="Arial" w:eastAsia="Arial" w:hAnsi="Arial" w:cs="Arial"/>
          <w:b/>
          <w:bCs/>
          <w:color w:val="2E5395"/>
        </w:rPr>
        <w:t>2.2 Integración de tecnologías: sistemas web, comercio electrónico, sistemas empresariales y móviles</w:t>
      </w:r>
    </w:p>
    <w:p w14:paraId="1893D278" w14:textId="77777777" w:rsidR="00853DB5" w:rsidRDefault="00000000">
      <w:pPr>
        <w:spacing w:after="200" w:line="276" w:lineRule="auto"/>
        <w:jc w:val="both"/>
      </w:pPr>
      <w:r>
        <w:rPr>
          <w:rFonts w:ascii="Arial" w:eastAsia="Arial" w:hAnsi="Arial" w:cs="Arial"/>
          <w:sz w:val="22"/>
          <w:szCs w:val="22"/>
        </w:rPr>
        <w:t xml:space="preserve">La convergencia de la IAGen con las plataformas empresariales (Enterprise </w:t>
      </w:r>
      <w:proofErr w:type="spellStart"/>
      <w:r>
        <w:rPr>
          <w:rFonts w:ascii="Arial" w:eastAsia="Arial" w:hAnsi="Arial" w:cs="Arial"/>
          <w:sz w:val="22"/>
          <w:szCs w:val="22"/>
        </w:rPr>
        <w:t>Platforms</w:t>
      </w:r>
      <w:proofErr w:type="spellEnd"/>
      <w:r>
        <w:rPr>
          <w:rFonts w:ascii="Arial" w:eastAsia="Arial" w:hAnsi="Arial" w:cs="Arial"/>
          <w:sz w:val="22"/>
          <w:szCs w:val="22"/>
        </w:rPr>
        <w:t xml:space="preserve">) modifica sustancialmente sus dimensiones sociotécnicas: capacidades, arquitectura y gobernanza (Haki &amp; Safaei, 2024). Los sistemas web y de comercio electrónico dejan de ser interfaces estáticas de interacción para convertirse en ecosistemas inteligentes, en los que la automatización flexible y la </w:t>
      </w:r>
      <w:proofErr w:type="spellStart"/>
      <w:r>
        <w:rPr>
          <w:rFonts w:ascii="Arial" w:eastAsia="Arial" w:hAnsi="Arial" w:cs="Arial"/>
          <w:sz w:val="22"/>
          <w:szCs w:val="22"/>
        </w:rPr>
        <w:t>hiperpersonalización</w:t>
      </w:r>
      <w:proofErr w:type="spellEnd"/>
      <w:r>
        <w:rPr>
          <w:rFonts w:ascii="Arial" w:eastAsia="Arial" w:hAnsi="Arial" w:cs="Arial"/>
          <w:sz w:val="22"/>
          <w:szCs w:val="22"/>
        </w:rPr>
        <w:t xml:space="preserve"> optimizan la experiencia de usuarios y clientes (Haki &amp; Safaei, 2024). En las plataformas empresariales integradas —como los ERP o los CRM de gran escala, por </w:t>
      </w:r>
      <w:proofErr w:type="gramStart"/>
      <w:r>
        <w:rPr>
          <w:rFonts w:ascii="Arial" w:eastAsia="Arial" w:hAnsi="Arial" w:cs="Arial"/>
          <w:sz w:val="22"/>
          <w:szCs w:val="22"/>
        </w:rPr>
        <w:t>ejemplo</w:t>
      </w:r>
      <w:proofErr w:type="gramEnd"/>
      <w:r>
        <w:rPr>
          <w:rFonts w:ascii="Arial" w:eastAsia="Arial" w:hAnsi="Arial" w:cs="Arial"/>
          <w:sz w:val="22"/>
          <w:szCs w:val="22"/>
        </w:rPr>
        <w:t xml:space="preserve"> Salesforce o SAP— los recursos limítrofes (</w:t>
      </w:r>
      <w:proofErr w:type="spellStart"/>
      <w:r>
        <w:rPr>
          <w:rFonts w:ascii="Arial" w:eastAsia="Arial" w:hAnsi="Arial" w:cs="Arial"/>
          <w:sz w:val="22"/>
          <w:szCs w:val="22"/>
        </w:rPr>
        <w:t>boundary</w:t>
      </w:r>
      <w:proofErr w:type="spellEnd"/>
      <w:r>
        <w:rPr>
          <w:rFonts w:ascii="Arial" w:eastAsia="Arial" w:hAnsi="Arial" w:cs="Arial"/>
          <w:sz w:val="22"/>
          <w:szCs w:val="22"/>
        </w:rPr>
        <w:t xml:space="preserve"> </w:t>
      </w:r>
      <w:proofErr w:type="spellStart"/>
      <w:r>
        <w:rPr>
          <w:rFonts w:ascii="Arial" w:eastAsia="Arial" w:hAnsi="Arial" w:cs="Arial"/>
          <w:sz w:val="22"/>
          <w:szCs w:val="22"/>
        </w:rPr>
        <w:t>resources</w:t>
      </w:r>
      <w:proofErr w:type="spellEnd"/>
      <w:r>
        <w:rPr>
          <w:rFonts w:ascii="Arial" w:eastAsia="Arial" w:hAnsi="Arial" w:cs="Arial"/>
          <w:sz w:val="22"/>
          <w:szCs w:val="22"/>
        </w:rPr>
        <w:t xml:space="preserve">), tales como las API y los kits de </w:t>
      </w:r>
      <w:r>
        <w:rPr>
          <w:rFonts w:ascii="Arial" w:eastAsia="Arial" w:hAnsi="Arial" w:cs="Arial"/>
          <w:sz w:val="22"/>
          <w:szCs w:val="22"/>
        </w:rPr>
        <w:lastRenderedPageBreak/>
        <w:t>desarrollo, dejan de ser meros conectores pasivos y se convierten en intermediarios activos capaces de orquestar flujos de trabajo complejos (Haki &amp; Safaei, 2024).</w:t>
      </w:r>
    </w:p>
    <w:p w14:paraId="79FE03DB" w14:textId="77777777" w:rsidR="00853DB5" w:rsidRDefault="00000000">
      <w:pPr>
        <w:spacing w:after="200" w:line="276" w:lineRule="auto"/>
        <w:jc w:val="both"/>
      </w:pPr>
      <w:r>
        <w:rPr>
          <w:rFonts w:ascii="Arial" w:eastAsia="Arial" w:hAnsi="Arial" w:cs="Arial"/>
          <w:sz w:val="22"/>
          <w:szCs w:val="22"/>
        </w:rPr>
        <w:t>No obstante, esta integración plantea desafíos arquitectónicos y de gobernanza de TI relevantes. Las organizaciones deben estructurar mecanismos para gestionar el uso no regulado de estas herramientas (</w:t>
      </w:r>
      <w:proofErr w:type="spellStart"/>
      <w:r>
        <w:rPr>
          <w:rFonts w:ascii="Arial" w:eastAsia="Arial" w:hAnsi="Arial" w:cs="Arial"/>
          <w:sz w:val="22"/>
          <w:szCs w:val="22"/>
        </w:rPr>
        <w:t>shadow</w:t>
      </w:r>
      <w:proofErr w:type="spellEnd"/>
      <w:r>
        <w:rPr>
          <w:rFonts w:ascii="Arial" w:eastAsia="Arial" w:hAnsi="Arial" w:cs="Arial"/>
          <w:sz w:val="22"/>
          <w:szCs w:val="22"/>
        </w:rPr>
        <w:t xml:space="preserve"> AI), mitigar los riesgos de privacidad, evitar alucinaciones operativas y redefinir las competencias que se exigen a las partes interesadas y a los desarrolladores, con el fin de garantizar la interoperabilidad, la escalabilidad y la soberanía de los datos empresariales en entornos móviles y multicanal (Haki &amp; Safaei, 2024). La Figura 2.2 resume este esquema, situando a la IA Generativa como capa central —un segundo cerebro organizacional— entre las entradas de los sistemas empresariales y las salidas hacia las plataformas digitales.</w:t>
      </w:r>
    </w:p>
    <w:p w14:paraId="20E6E697" w14:textId="77777777" w:rsidR="00853DB5" w:rsidRDefault="00000000">
      <w:pPr>
        <w:spacing w:before="240" w:after="40"/>
      </w:pPr>
      <w:r>
        <w:rPr>
          <w:rFonts w:ascii="Arial" w:eastAsia="Arial" w:hAnsi="Arial" w:cs="Arial"/>
          <w:b/>
          <w:bCs/>
          <w:sz w:val="22"/>
          <w:szCs w:val="22"/>
        </w:rPr>
        <w:t>Figura 2.2</w:t>
      </w:r>
    </w:p>
    <w:p w14:paraId="5528F669" w14:textId="77777777" w:rsidR="00853DB5" w:rsidRDefault="00000000">
      <w:pPr>
        <w:spacing w:after="120"/>
      </w:pPr>
      <w:r>
        <w:rPr>
          <w:rFonts w:ascii="Arial" w:eastAsia="Arial" w:hAnsi="Arial" w:cs="Arial"/>
          <w:i/>
          <w:iCs/>
          <w:sz w:val="22"/>
          <w:szCs w:val="22"/>
        </w:rPr>
        <w:t>Arquitectura de Integración Digital y el Segundo Cerebro Organizacional</w:t>
      </w:r>
    </w:p>
    <w:p w14:paraId="1F8205E5" w14:textId="77777777" w:rsidR="00853DB5" w:rsidRDefault="00000000">
      <w:pPr>
        <w:spacing w:after="100"/>
        <w:jc w:val="center"/>
      </w:pPr>
      <w:r>
        <w:rPr>
          <w:noProof/>
        </w:rPr>
        <w:drawing>
          <wp:inline distT="114300" distB="114300" distL="114300" distR="114300" wp14:anchorId="43FFC7B5" wp14:editId="469D4079">
            <wp:extent cx="5943600" cy="4508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4508500"/>
                    </a:xfrm>
                    <a:prstGeom prst="rect">
                      <a:avLst/>
                    </a:prstGeom>
                    <a:ln/>
                  </pic:spPr>
                </pic:pic>
              </a:graphicData>
            </a:graphic>
          </wp:inline>
        </w:drawing>
      </w:r>
    </w:p>
    <w:p w14:paraId="5A28DD4F" w14:textId="77777777" w:rsidR="00853DB5" w:rsidRDefault="00000000">
      <w:pPr>
        <w:spacing w:after="280"/>
        <w:jc w:val="both"/>
      </w:pPr>
      <w:r>
        <w:rPr>
          <w:rFonts w:ascii="Arial" w:eastAsia="Arial" w:hAnsi="Arial" w:cs="Arial"/>
          <w:i/>
          <w:iCs/>
        </w:rPr>
        <w:t xml:space="preserve">Nota. </w:t>
      </w:r>
      <w:r>
        <w:rPr>
          <w:rFonts w:ascii="Arial" w:eastAsia="Arial" w:hAnsi="Arial" w:cs="Arial"/>
        </w:rPr>
        <w:t>Adaptado de Haki y Safaei (2024) y Wessel et al. (2025).</w:t>
      </w:r>
    </w:p>
    <w:p w14:paraId="6CBF0599" w14:textId="77777777" w:rsidR="00853DB5" w:rsidRDefault="00000000">
      <w:pPr>
        <w:pBdr>
          <w:left w:val="single" w:sz="12" w:space="8" w:color="2E5395"/>
        </w:pBdr>
        <w:shd w:val="clear" w:color="auto" w:fill="EEF2FA"/>
        <w:spacing w:before="80" w:after="240"/>
        <w:ind w:left="200" w:right="200"/>
        <w:jc w:val="both"/>
      </w:pPr>
      <w:r>
        <w:rPr>
          <w:rFonts w:ascii="Arial" w:eastAsia="Arial" w:hAnsi="Arial" w:cs="Arial"/>
          <w:b/>
          <w:bCs/>
          <w:i/>
          <w:iCs/>
          <w:sz w:val="22"/>
          <w:szCs w:val="22"/>
        </w:rPr>
        <w:t xml:space="preserve">Síntesis. </w:t>
      </w:r>
      <w:r>
        <w:rPr>
          <w:rFonts w:ascii="Arial" w:eastAsia="Arial" w:hAnsi="Arial" w:cs="Arial"/>
          <w:i/>
          <w:iCs/>
          <w:sz w:val="22"/>
          <w:szCs w:val="22"/>
        </w:rPr>
        <w:t xml:space="preserve">Al integrarse con sistemas web, de comercio electrónico y plataformas empresariales, la IAGen pasa de ser un conector pasivo a funcionar como orquestador central de datos; ese mismo protagonismo obliga a las organizaciones a gobernar riesgos </w:t>
      </w:r>
      <w:r>
        <w:rPr>
          <w:rFonts w:ascii="Arial" w:eastAsia="Arial" w:hAnsi="Arial" w:cs="Arial"/>
          <w:i/>
          <w:iCs/>
          <w:sz w:val="22"/>
          <w:szCs w:val="22"/>
        </w:rPr>
        <w:lastRenderedPageBreak/>
        <w:t>nuevos —</w:t>
      </w:r>
      <w:proofErr w:type="spellStart"/>
      <w:r>
        <w:rPr>
          <w:rFonts w:ascii="Arial" w:eastAsia="Arial" w:hAnsi="Arial" w:cs="Arial"/>
          <w:i/>
          <w:iCs/>
          <w:sz w:val="22"/>
          <w:szCs w:val="22"/>
        </w:rPr>
        <w:t>shadow</w:t>
      </w:r>
      <w:proofErr w:type="spellEnd"/>
      <w:r>
        <w:rPr>
          <w:rFonts w:ascii="Arial" w:eastAsia="Arial" w:hAnsi="Arial" w:cs="Arial"/>
          <w:i/>
          <w:iCs/>
          <w:sz w:val="22"/>
          <w:szCs w:val="22"/>
        </w:rPr>
        <w:t xml:space="preserve"> AI, privacidad y alucinaciones— que no existían en la arquitectura tradicional (Figura 2.2).</w:t>
      </w:r>
    </w:p>
    <w:p w14:paraId="7746BFFB" w14:textId="77777777" w:rsidR="00853DB5" w:rsidRDefault="00000000">
      <w:pPr>
        <w:pStyle w:val="Ttulo2"/>
        <w:spacing w:before="300" w:after="160"/>
      </w:pPr>
      <w:r>
        <w:rPr>
          <w:rFonts w:ascii="Arial" w:eastAsia="Arial" w:hAnsi="Arial" w:cs="Arial"/>
          <w:b/>
          <w:bCs/>
          <w:color w:val="2E5395"/>
        </w:rPr>
        <w:t>2.3 Contexto organizacional del caso faro: problema, actores generales, información gestionada y límites del sistema</w:t>
      </w:r>
    </w:p>
    <w:p w14:paraId="703FF4B2" w14:textId="77777777" w:rsidR="00853DB5" w:rsidRDefault="00000000">
      <w:pPr>
        <w:spacing w:after="200" w:line="276" w:lineRule="auto"/>
        <w:jc w:val="both"/>
      </w:pPr>
      <w:r>
        <w:rPr>
          <w:rFonts w:ascii="Arial" w:eastAsia="Arial" w:hAnsi="Arial" w:cs="Arial"/>
          <w:sz w:val="22"/>
          <w:szCs w:val="22"/>
        </w:rPr>
        <w:t xml:space="preserve">El caso faro aborda el impacto transformador de la IAGen en las plataformas digitales, identificando cómo los mecanismos de automatización inteligente, democratización, </w:t>
      </w:r>
      <w:proofErr w:type="spellStart"/>
      <w:r>
        <w:rPr>
          <w:rFonts w:ascii="Arial" w:eastAsia="Arial" w:hAnsi="Arial" w:cs="Arial"/>
          <w:sz w:val="22"/>
          <w:szCs w:val="22"/>
        </w:rPr>
        <w:t>hiperpersonalización</w:t>
      </w:r>
      <w:proofErr w:type="spellEnd"/>
      <w:r>
        <w:rPr>
          <w:rFonts w:ascii="Arial" w:eastAsia="Arial" w:hAnsi="Arial" w:cs="Arial"/>
          <w:sz w:val="22"/>
          <w:szCs w:val="22"/>
        </w:rPr>
        <w:t xml:space="preserve"> e innovación colaborativa reconfiguran la creación de valor (Wessel et al., 2025). El problema central radica en la necesidad de adaptar la arquitectura y la gobernanza de las plataformas frente a tecnologías probabilísticas capaces de generar contenido y código de forma autónoma, lo que altera las fronteras tradicionales del sistema y expone a las organizaciones a riesgos de sesgo, desinformación y pérdida de control sobre la calidad (Wessel et al., 2025).</w:t>
      </w:r>
    </w:p>
    <w:p w14:paraId="609B3BE3" w14:textId="77777777" w:rsidR="00853DB5" w:rsidRDefault="00000000">
      <w:pPr>
        <w:spacing w:after="200" w:line="276" w:lineRule="auto"/>
        <w:jc w:val="both"/>
      </w:pPr>
      <w:r>
        <w:rPr>
          <w:rFonts w:ascii="Arial" w:eastAsia="Arial" w:hAnsi="Arial" w:cs="Arial"/>
          <w:sz w:val="22"/>
          <w:szCs w:val="22"/>
        </w:rPr>
        <w:t>En este contexto operan tres actores generales:</w:t>
      </w:r>
    </w:p>
    <w:p w14:paraId="3E554A9B" w14:textId="77777777" w:rsidR="00853DB5" w:rsidRDefault="00000000">
      <w:pPr>
        <w:numPr>
          <w:ilvl w:val="0"/>
          <w:numId w:val="1"/>
        </w:numPr>
        <w:pBdr>
          <w:top w:val="nil"/>
          <w:left w:val="nil"/>
          <w:bottom w:val="nil"/>
          <w:right w:val="nil"/>
          <w:between w:val="nil"/>
        </w:pBdr>
        <w:spacing w:after="140"/>
        <w:jc w:val="both"/>
      </w:pPr>
      <w:r>
        <w:rPr>
          <w:rFonts w:ascii="Arial" w:eastAsia="Arial" w:hAnsi="Arial" w:cs="Arial"/>
          <w:color w:val="000000"/>
          <w:sz w:val="22"/>
          <w:szCs w:val="22"/>
        </w:rPr>
        <w:t>Propietarios de la plataforma (</w:t>
      </w:r>
      <w:proofErr w:type="spellStart"/>
      <w:r>
        <w:rPr>
          <w:rFonts w:ascii="Arial" w:eastAsia="Arial" w:hAnsi="Arial" w:cs="Arial"/>
          <w:i/>
          <w:iCs/>
          <w:color w:val="000000"/>
          <w:sz w:val="22"/>
          <w:szCs w:val="22"/>
        </w:rPr>
        <w:t>Platform</w:t>
      </w:r>
      <w:proofErr w:type="spellEnd"/>
      <w:r>
        <w:rPr>
          <w:rFonts w:ascii="Arial" w:eastAsia="Arial" w:hAnsi="Arial" w:cs="Arial"/>
          <w:i/>
          <w:iCs/>
          <w:color w:val="000000"/>
          <w:sz w:val="22"/>
          <w:szCs w:val="22"/>
        </w:rPr>
        <w:t xml:space="preserve"> </w:t>
      </w:r>
      <w:proofErr w:type="spellStart"/>
      <w:r>
        <w:rPr>
          <w:rFonts w:ascii="Arial" w:eastAsia="Arial" w:hAnsi="Arial" w:cs="Arial"/>
          <w:i/>
          <w:iCs/>
          <w:color w:val="000000"/>
          <w:sz w:val="22"/>
          <w:szCs w:val="22"/>
        </w:rPr>
        <w:t>Owners</w:t>
      </w:r>
      <w:proofErr w:type="spellEnd"/>
      <w:r>
        <w:rPr>
          <w:rFonts w:ascii="Arial" w:eastAsia="Arial" w:hAnsi="Arial" w:cs="Arial"/>
          <w:color w:val="000000"/>
          <w:sz w:val="22"/>
          <w:szCs w:val="22"/>
        </w:rPr>
        <w:t>), quienes deben redefinir las reglas de gobernanza, la supervisión de calidad y la alineación estratégica (Wessel et al., 2025).</w:t>
      </w:r>
    </w:p>
    <w:p w14:paraId="691BFFA9" w14:textId="77777777" w:rsidR="00853DB5" w:rsidRDefault="00000000">
      <w:pPr>
        <w:numPr>
          <w:ilvl w:val="0"/>
          <w:numId w:val="1"/>
        </w:numPr>
        <w:pBdr>
          <w:top w:val="nil"/>
          <w:left w:val="nil"/>
          <w:bottom w:val="nil"/>
          <w:right w:val="nil"/>
          <w:between w:val="nil"/>
        </w:pBdr>
        <w:spacing w:after="140"/>
        <w:jc w:val="both"/>
      </w:pPr>
      <w:proofErr w:type="spellStart"/>
      <w:r>
        <w:rPr>
          <w:rFonts w:ascii="Arial" w:eastAsia="Arial" w:hAnsi="Arial" w:cs="Arial"/>
          <w:color w:val="000000"/>
          <w:sz w:val="22"/>
          <w:szCs w:val="22"/>
        </w:rPr>
        <w:t>Complementadores</w:t>
      </w:r>
      <w:proofErr w:type="spellEnd"/>
      <w:r>
        <w:rPr>
          <w:rFonts w:ascii="Arial" w:eastAsia="Arial" w:hAnsi="Arial" w:cs="Arial"/>
          <w:color w:val="000000"/>
          <w:sz w:val="22"/>
          <w:szCs w:val="22"/>
        </w:rPr>
        <w:t xml:space="preserve"> (</w:t>
      </w:r>
      <w:proofErr w:type="spellStart"/>
      <w:r>
        <w:rPr>
          <w:rFonts w:ascii="Arial" w:eastAsia="Arial" w:hAnsi="Arial" w:cs="Arial"/>
          <w:i/>
          <w:iCs/>
          <w:color w:val="000000"/>
          <w:sz w:val="22"/>
          <w:szCs w:val="22"/>
        </w:rPr>
        <w:t>Complementors</w:t>
      </w:r>
      <w:proofErr w:type="spellEnd"/>
      <w:r>
        <w:rPr>
          <w:rFonts w:ascii="Arial" w:eastAsia="Arial" w:hAnsi="Arial" w:cs="Arial"/>
          <w:color w:val="000000"/>
          <w:sz w:val="22"/>
          <w:szCs w:val="22"/>
        </w:rPr>
        <w:t>), que aprovechan la democratización para reducir las barreras de entrada al desarrollo de software y servicios, aunque enfrentan incertidumbre por la posible sustitución de sus modelos de negocio (Wessel et al., 2025).</w:t>
      </w:r>
    </w:p>
    <w:p w14:paraId="722BF10D" w14:textId="77777777" w:rsidR="00853DB5" w:rsidRDefault="00000000">
      <w:pPr>
        <w:numPr>
          <w:ilvl w:val="0"/>
          <w:numId w:val="1"/>
        </w:numPr>
        <w:pBdr>
          <w:top w:val="nil"/>
          <w:left w:val="nil"/>
          <w:bottom w:val="nil"/>
          <w:right w:val="nil"/>
          <w:between w:val="nil"/>
        </w:pBdr>
        <w:spacing w:after="140"/>
        <w:jc w:val="both"/>
      </w:pPr>
      <w:r>
        <w:rPr>
          <w:rFonts w:ascii="Arial" w:eastAsia="Arial" w:hAnsi="Arial" w:cs="Arial"/>
          <w:color w:val="000000"/>
          <w:sz w:val="22"/>
          <w:szCs w:val="22"/>
        </w:rPr>
        <w:t>Usuarios finales y sociedad, que experimentan servicios altamente personalizados, pero asumen riesgos de privacidad y erosión de habilidades (Wessel et al., 2025).</w:t>
      </w:r>
    </w:p>
    <w:p w14:paraId="1ACB66D4" w14:textId="77777777" w:rsidR="00853DB5" w:rsidRDefault="00000000">
      <w:pPr>
        <w:spacing w:after="200" w:line="276" w:lineRule="auto"/>
        <w:jc w:val="both"/>
      </w:pPr>
      <w:r>
        <w:rPr>
          <w:rFonts w:ascii="Arial" w:eastAsia="Arial" w:hAnsi="Arial" w:cs="Arial"/>
          <w:sz w:val="22"/>
          <w:szCs w:val="22"/>
        </w:rPr>
        <w:t>La información gestionada abarca datos no estructurados, indicaciones (</w:t>
      </w:r>
      <w:proofErr w:type="spellStart"/>
      <w:r>
        <w:rPr>
          <w:rFonts w:ascii="Arial" w:eastAsia="Arial" w:hAnsi="Arial" w:cs="Arial"/>
          <w:sz w:val="22"/>
          <w:szCs w:val="22"/>
        </w:rPr>
        <w:t>prompts</w:t>
      </w:r>
      <w:proofErr w:type="spellEnd"/>
      <w:r>
        <w:rPr>
          <w:rFonts w:ascii="Arial" w:eastAsia="Arial" w:hAnsi="Arial" w:cs="Arial"/>
          <w:sz w:val="22"/>
          <w:szCs w:val="22"/>
        </w:rPr>
        <w:t>), código fuente, textos sintéticos y métricas de interacción. Los límites del sistema se extienden más allá de las fronteras organizacionales rígidas, integrando a los agentes de IA como cocreadores de valor y exigiendo mecanismos de control estricto sobre la entrada y la salida de datos (Wessel et al., 2025). La Figura 2.3 traduce este marco a una jerarquía de adopción, articulada mediante el modelo TOE (Tecnología-Organización-Entorno), que se retoma en la sección 2.4.</w:t>
      </w:r>
    </w:p>
    <w:p w14:paraId="08348419" w14:textId="77777777" w:rsidR="00853DB5" w:rsidRDefault="00000000">
      <w:pPr>
        <w:spacing w:before="240" w:after="40"/>
      </w:pPr>
      <w:r>
        <w:rPr>
          <w:rFonts w:ascii="Arial" w:eastAsia="Arial" w:hAnsi="Arial" w:cs="Arial"/>
          <w:b/>
          <w:bCs/>
          <w:sz w:val="22"/>
          <w:szCs w:val="22"/>
        </w:rPr>
        <w:t>Figura 2.3</w:t>
      </w:r>
    </w:p>
    <w:p w14:paraId="61BC6595" w14:textId="77777777" w:rsidR="00853DB5" w:rsidRDefault="00000000">
      <w:pPr>
        <w:spacing w:after="120"/>
      </w:pPr>
      <w:r>
        <w:rPr>
          <w:rFonts w:ascii="Arial" w:eastAsia="Arial" w:hAnsi="Arial" w:cs="Arial"/>
          <w:i/>
          <w:iCs/>
          <w:sz w:val="22"/>
          <w:szCs w:val="22"/>
        </w:rPr>
        <w:t>Marco TOE de Adopción de IA Generativa en el Contexto Organizacional del Caso Faro</w:t>
      </w:r>
    </w:p>
    <w:p w14:paraId="1391EF4E" w14:textId="77777777" w:rsidR="00853DB5" w:rsidRDefault="00000000">
      <w:pPr>
        <w:spacing w:after="100"/>
        <w:jc w:val="center"/>
      </w:pPr>
      <w:r>
        <w:rPr>
          <w:noProof/>
        </w:rPr>
        <w:lastRenderedPageBreak/>
        <w:drawing>
          <wp:inline distT="114300" distB="114300" distL="114300" distR="114300" wp14:anchorId="19BF3402" wp14:editId="573AE03B">
            <wp:extent cx="5943600" cy="3009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009900"/>
                    </a:xfrm>
                    <a:prstGeom prst="rect">
                      <a:avLst/>
                    </a:prstGeom>
                    <a:ln/>
                  </pic:spPr>
                </pic:pic>
              </a:graphicData>
            </a:graphic>
          </wp:inline>
        </w:drawing>
      </w:r>
    </w:p>
    <w:p w14:paraId="60964592" w14:textId="77777777" w:rsidR="00853DB5" w:rsidRDefault="00000000">
      <w:pPr>
        <w:spacing w:after="280"/>
        <w:jc w:val="both"/>
      </w:pPr>
      <w:r>
        <w:rPr>
          <w:rFonts w:ascii="Arial" w:eastAsia="Arial" w:hAnsi="Arial" w:cs="Arial"/>
          <w:i/>
          <w:iCs/>
        </w:rPr>
        <w:t xml:space="preserve">Nota. </w:t>
      </w:r>
      <w:r>
        <w:rPr>
          <w:rFonts w:ascii="Arial" w:eastAsia="Arial" w:hAnsi="Arial" w:cs="Arial"/>
        </w:rPr>
        <w:t>Adaptado de Tewari et al. (2026).</w:t>
      </w:r>
    </w:p>
    <w:p w14:paraId="7FF7E1C1" w14:textId="77777777" w:rsidR="00853DB5" w:rsidRDefault="00000000">
      <w:pPr>
        <w:pBdr>
          <w:left w:val="single" w:sz="12" w:space="8" w:color="2E5395"/>
        </w:pBdr>
        <w:shd w:val="clear" w:color="auto" w:fill="EEF2FA"/>
        <w:spacing w:before="80" w:after="240"/>
        <w:ind w:left="200" w:right="200"/>
        <w:jc w:val="both"/>
      </w:pPr>
      <w:r>
        <w:rPr>
          <w:rFonts w:ascii="Arial" w:eastAsia="Arial" w:hAnsi="Arial" w:cs="Arial"/>
          <w:b/>
          <w:bCs/>
          <w:i/>
          <w:iCs/>
          <w:sz w:val="22"/>
          <w:szCs w:val="22"/>
        </w:rPr>
        <w:t xml:space="preserve">Síntesis. </w:t>
      </w:r>
      <w:r>
        <w:rPr>
          <w:rFonts w:ascii="Arial" w:eastAsia="Arial" w:hAnsi="Arial" w:cs="Arial"/>
          <w:i/>
          <w:iCs/>
          <w:sz w:val="22"/>
          <w:szCs w:val="22"/>
        </w:rPr>
        <w:t xml:space="preserve">El caso faro delimita tres actores (propietarios de plataforma, </w:t>
      </w:r>
      <w:proofErr w:type="spellStart"/>
      <w:r>
        <w:rPr>
          <w:rFonts w:ascii="Arial" w:eastAsia="Arial" w:hAnsi="Arial" w:cs="Arial"/>
          <w:i/>
          <w:iCs/>
          <w:sz w:val="22"/>
          <w:szCs w:val="22"/>
        </w:rPr>
        <w:t>complementadores</w:t>
      </w:r>
      <w:proofErr w:type="spellEnd"/>
      <w:r>
        <w:rPr>
          <w:rFonts w:ascii="Arial" w:eastAsia="Arial" w:hAnsi="Arial" w:cs="Arial"/>
          <w:i/>
          <w:iCs/>
          <w:sz w:val="22"/>
          <w:szCs w:val="22"/>
        </w:rPr>
        <w:t xml:space="preserve"> y usuarios finales) cuya relación ya no está mediada solo por reglas organizacionales, sino por un sistema de límites abiertos donde la IA participa como cocreadora de valor y de riesgo al mismo tiempo (Figura 2.3).</w:t>
      </w:r>
    </w:p>
    <w:p w14:paraId="639CA2A5" w14:textId="77777777" w:rsidR="00853DB5" w:rsidRDefault="00000000">
      <w:pPr>
        <w:pStyle w:val="Ttulo2"/>
        <w:spacing w:before="300" w:after="160"/>
      </w:pPr>
      <w:r>
        <w:rPr>
          <w:rFonts w:ascii="Arial" w:eastAsia="Arial" w:hAnsi="Arial" w:cs="Arial"/>
          <w:b/>
          <w:bCs/>
          <w:color w:val="2E5395"/>
        </w:rPr>
        <w:t>2.4 Mapa de contexto y matriz de aplicación del sistema en un escenario académico u organizacional</w:t>
      </w:r>
    </w:p>
    <w:p w14:paraId="0B1885C3" w14:textId="77777777" w:rsidR="00853DB5" w:rsidRDefault="00000000">
      <w:pPr>
        <w:spacing w:after="200" w:line="276" w:lineRule="auto"/>
        <w:jc w:val="both"/>
      </w:pPr>
      <w:r>
        <w:rPr>
          <w:rFonts w:ascii="Arial" w:eastAsia="Arial" w:hAnsi="Arial" w:cs="Arial"/>
          <w:sz w:val="22"/>
          <w:szCs w:val="22"/>
        </w:rPr>
        <w:t>La adopción e integración de la IAGen en las pequeñas y medianas empresas (PYMES) y en organizaciones de economías emergentes puede analizarse mediante el marco TOE (Tecnología-Organización-Entorno) (Tewari et al., 2026). La matriz de aplicación y el mapa de contexto demuestran que la tasa de éxito en la implementación de LLM no depende únicamente de la sofisticación del modelo técnico, sino del ajuste equilibrado de tres dimensiones clave:</w:t>
      </w:r>
    </w:p>
    <w:p w14:paraId="46D039F2" w14:textId="77777777" w:rsidR="00853DB5" w:rsidRDefault="00000000">
      <w:pPr>
        <w:numPr>
          <w:ilvl w:val="0"/>
          <w:numId w:val="2"/>
        </w:numPr>
        <w:pBdr>
          <w:top w:val="nil"/>
          <w:left w:val="nil"/>
          <w:bottom w:val="nil"/>
          <w:right w:val="nil"/>
          <w:between w:val="nil"/>
        </w:pBdr>
        <w:spacing w:after="120"/>
        <w:jc w:val="both"/>
      </w:pPr>
      <w:r>
        <w:rPr>
          <w:rFonts w:ascii="Arial" w:eastAsia="Arial" w:hAnsi="Arial" w:cs="Arial"/>
          <w:b/>
          <w:bCs/>
          <w:color w:val="000000"/>
          <w:sz w:val="22"/>
          <w:szCs w:val="22"/>
        </w:rPr>
        <w:t xml:space="preserve">Dimensión tecnológica: </w:t>
      </w:r>
      <w:r>
        <w:rPr>
          <w:rFonts w:ascii="Arial" w:eastAsia="Arial" w:hAnsi="Arial" w:cs="Arial"/>
          <w:color w:val="000000"/>
          <w:sz w:val="22"/>
          <w:szCs w:val="22"/>
        </w:rPr>
        <w:t>evalúa la madurez y la preparación tecnológica de la infraestructura, la disponibilidad de datos de entrenamiento y la capacidad de integración con los sistemas existentes (Tewari et al., 2026).</w:t>
      </w:r>
    </w:p>
    <w:p w14:paraId="3D4BC3EB" w14:textId="77777777" w:rsidR="00853DB5" w:rsidRDefault="00000000">
      <w:pPr>
        <w:numPr>
          <w:ilvl w:val="0"/>
          <w:numId w:val="2"/>
        </w:numPr>
        <w:pBdr>
          <w:top w:val="nil"/>
          <w:left w:val="nil"/>
          <w:bottom w:val="nil"/>
          <w:right w:val="nil"/>
          <w:between w:val="nil"/>
        </w:pBdr>
        <w:spacing w:after="120"/>
        <w:jc w:val="both"/>
      </w:pPr>
      <w:r>
        <w:rPr>
          <w:rFonts w:ascii="Arial" w:eastAsia="Arial" w:hAnsi="Arial" w:cs="Arial"/>
          <w:b/>
          <w:bCs/>
          <w:color w:val="000000"/>
          <w:sz w:val="22"/>
          <w:szCs w:val="22"/>
        </w:rPr>
        <w:t xml:space="preserve">Dimensión organizacional: </w:t>
      </w:r>
      <w:r>
        <w:rPr>
          <w:rFonts w:ascii="Arial" w:eastAsia="Arial" w:hAnsi="Arial" w:cs="Arial"/>
          <w:color w:val="000000"/>
          <w:sz w:val="22"/>
          <w:szCs w:val="22"/>
        </w:rPr>
        <w:t>destaca el rol determinante del apoyo de la alta dirección, la disponibilidad de recursos financieros y el desarrollo de competencias digitales en el talento humano para superar la resistencia al cambio (Tewari et al., 2026).</w:t>
      </w:r>
    </w:p>
    <w:p w14:paraId="1EA7E165" w14:textId="77777777" w:rsidR="00853DB5" w:rsidRDefault="00000000">
      <w:pPr>
        <w:numPr>
          <w:ilvl w:val="0"/>
          <w:numId w:val="2"/>
        </w:numPr>
        <w:pBdr>
          <w:top w:val="nil"/>
          <w:left w:val="nil"/>
          <w:bottom w:val="nil"/>
          <w:right w:val="nil"/>
          <w:between w:val="nil"/>
        </w:pBdr>
        <w:spacing w:after="120"/>
        <w:jc w:val="both"/>
      </w:pPr>
      <w:r>
        <w:rPr>
          <w:rFonts w:ascii="Arial" w:eastAsia="Arial" w:hAnsi="Arial" w:cs="Arial"/>
          <w:b/>
          <w:bCs/>
          <w:color w:val="000000"/>
          <w:sz w:val="22"/>
          <w:szCs w:val="22"/>
        </w:rPr>
        <w:t xml:space="preserve">Dimensión ambiental o de entorno: </w:t>
      </w:r>
      <w:r>
        <w:rPr>
          <w:rFonts w:ascii="Arial" w:eastAsia="Arial" w:hAnsi="Arial" w:cs="Arial"/>
          <w:color w:val="000000"/>
          <w:sz w:val="22"/>
          <w:szCs w:val="22"/>
        </w:rPr>
        <w:t>incorpora la presión competitiva del mercado, las demandas de los consumidores y los marcos normativos o regulatorios propios de la región (Tewari et al., 2026).</w:t>
      </w:r>
    </w:p>
    <w:p w14:paraId="297E9D0F" w14:textId="77777777" w:rsidR="00853DB5" w:rsidRDefault="00000000">
      <w:pPr>
        <w:spacing w:after="200" w:line="276" w:lineRule="auto"/>
        <w:jc w:val="both"/>
      </w:pPr>
      <w:r>
        <w:rPr>
          <w:rFonts w:ascii="Arial" w:eastAsia="Arial" w:hAnsi="Arial" w:cs="Arial"/>
          <w:sz w:val="22"/>
          <w:szCs w:val="22"/>
        </w:rPr>
        <w:t xml:space="preserve">La evidencia empírica confirma que la adopción efectiva de la IAGen actúa como una variable mediadora clave entre las capacidades organizacionales e infraestructurales y el rendimiento global de la firma, optimizando las estrategias operativas y de mercadotecnia (Tewari et al., </w:t>
      </w:r>
      <w:r>
        <w:rPr>
          <w:rFonts w:ascii="Arial" w:eastAsia="Arial" w:hAnsi="Arial" w:cs="Arial"/>
          <w:sz w:val="22"/>
          <w:szCs w:val="22"/>
        </w:rPr>
        <w:lastRenderedPageBreak/>
        <w:t>2026). La Figura 2.4 traslada estas tres dimensiones al mapa de contexto del caso faro, distinguiendo el nivel estratégico, administrativo, operativo y el núcleo central de orquestación.</w:t>
      </w:r>
    </w:p>
    <w:p w14:paraId="795C1938" w14:textId="77777777" w:rsidR="00853DB5" w:rsidRDefault="00000000">
      <w:pPr>
        <w:spacing w:before="240" w:after="40"/>
      </w:pPr>
      <w:r>
        <w:rPr>
          <w:rFonts w:ascii="Arial" w:eastAsia="Arial" w:hAnsi="Arial" w:cs="Arial"/>
          <w:b/>
          <w:bCs/>
          <w:sz w:val="22"/>
          <w:szCs w:val="22"/>
        </w:rPr>
        <w:t>Figura 2.4</w:t>
      </w:r>
    </w:p>
    <w:p w14:paraId="5D407234" w14:textId="77777777" w:rsidR="00853DB5" w:rsidRDefault="00000000">
      <w:pPr>
        <w:spacing w:after="120"/>
      </w:pPr>
      <w:r>
        <w:rPr>
          <w:rFonts w:ascii="Arial" w:eastAsia="Arial" w:hAnsi="Arial" w:cs="Arial"/>
          <w:i/>
          <w:iCs/>
          <w:sz w:val="22"/>
          <w:szCs w:val="22"/>
        </w:rPr>
        <w:t>Mapa de Contexto del Sistema Faro Potenciado por IA Generativa</w:t>
      </w:r>
    </w:p>
    <w:p w14:paraId="0C6A0E49" w14:textId="77777777" w:rsidR="00853DB5" w:rsidRDefault="00000000">
      <w:pPr>
        <w:spacing w:after="100"/>
        <w:jc w:val="center"/>
      </w:pPr>
      <w:r>
        <w:rPr>
          <w:noProof/>
        </w:rPr>
        <w:drawing>
          <wp:inline distT="114300" distB="114300" distL="114300" distR="114300" wp14:anchorId="08B9176C" wp14:editId="3FC4317F">
            <wp:extent cx="4914900" cy="58102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914900" cy="5810250"/>
                    </a:xfrm>
                    <a:prstGeom prst="rect">
                      <a:avLst/>
                    </a:prstGeom>
                    <a:ln/>
                  </pic:spPr>
                </pic:pic>
              </a:graphicData>
            </a:graphic>
          </wp:inline>
        </w:drawing>
      </w:r>
    </w:p>
    <w:p w14:paraId="5BB2AE61" w14:textId="77777777" w:rsidR="00853DB5" w:rsidRDefault="00000000">
      <w:pPr>
        <w:spacing w:after="280"/>
        <w:jc w:val="both"/>
      </w:pPr>
      <w:r>
        <w:rPr>
          <w:rFonts w:ascii="Arial" w:eastAsia="Arial" w:hAnsi="Arial" w:cs="Arial"/>
          <w:i/>
          <w:iCs/>
        </w:rPr>
        <w:t xml:space="preserve">Nota. </w:t>
      </w:r>
      <w:r>
        <w:rPr>
          <w:rFonts w:ascii="Arial" w:eastAsia="Arial" w:hAnsi="Arial" w:cs="Arial"/>
        </w:rPr>
        <w:t>Adaptado de Jarzębowicz et al. (2025) y Rother (2025).</w:t>
      </w:r>
    </w:p>
    <w:p w14:paraId="70D8B15A" w14:textId="77777777" w:rsidR="00853DB5" w:rsidRDefault="00000000">
      <w:pPr>
        <w:spacing w:after="200" w:line="276" w:lineRule="auto"/>
        <w:jc w:val="both"/>
      </w:pPr>
      <w:r>
        <w:rPr>
          <w:rFonts w:ascii="Arial" w:eastAsia="Arial" w:hAnsi="Arial" w:cs="Arial"/>
          <w:sz w:val="22"/>
          <w:szCs w:val="22"/>
        </w:rPr>
        <w:t xml:space="preserve">Por su parte, la Figura 2.5 cruza los procesos de negocio clave —ventas y pedidos, gestión de inventarios— con las tecnologías integrantes (web, móvil, ERP/CRM e integración de IAGen), mostrando cómo cada proceso se apoya en experiencias de compra personalizadas, flujos de ventas automatizados, monitoreo inteligente de existencias y análisis predictivo para la optimización de la cadena de suministro (Haki &amp; Safaei, 2024; </w:t>
      </w:r>
      <w:proofErr w:type="spellStart"/>
      <w:r>
        <w:rPr>
          <w:rFonts w:ascii="Arial" w:eastAsia="Arial" w:hAnsi="Arial" w:cs="Arial"/>
          <w:sz w:val="22"/>
          <w:szCs w:val="22"/>
        </w:rPr>
        <w:t>Jarzębowicz</w:t>
      </w:r>
      <w:proofErr w:type="spellEnd"/>
      <w:r>
        <w:rPr>
          <w:rFonts w:ascii="Arial" w:eastAsia="Arial" w:hAnsi="Arial" w:cs="Arial"/>
          <w:sz w:val="22"/>
          <w:szCs w:val="22"/>
        </w:rPr>
        <w:t xml:space="preserve"> et al., 2025; Wessel et al., 2025).</w:t>
      </w:r>
    </w:p>
    <w:p w14:paraId="4418BC09" w14:textId="77777777" w:rsidR="00853DB5" w:rsidRDefault="00000000">
      <w:pPr>
        <w:spacing w:before="240" w:after="40"/>
      </w:pPr>
      <w:r>
        <w:rPr>
          <w:rFonts w:ascii="Arial" w:eastAsia="Arial" w:hAnsi="Arial" w:cs="Arial"/>
          <w:b/>
          <w:bCs/>
          <w:sz w:val="22"/>
          <w:szCs w:val="22"/>
        </w:rPr>
        <w:lastRenderedPageBreak/>
        <w:t>Figura 2.5</w:t>
      </w:r>
    </w:p>
    <w:p w14:paraId="03F2864E" w14:textId="77777777" w:rsidR="00853DB5" w:rsidRDefault="00000000">
      <w:pPr>
        <w:spacing w:after="120"/>
      </w:pPr>
      <w:r>
        <w:rPr>
          <w:rFonts w:ascii="Arial" w:eastAsia="Arial" w:hAnsi="Arial" w:cs="Arial"/>
          <w:i/>
          <w:iCs/>
          <w:sz w:val="22"/>
          <w:szCs w:val="22"/>
        </w:rPr>
        <w:t>Matriz de Aplicación de Tecnologías de IA Generativa en Procesos de Negocio</w:t>
      </w:r>
    </w:p>
    <w:p w14:paraId="0A171A6F" w14:textId="77777777" w:rsidR="00853DB5" w:rsidRDefault="00000000">
      <w:pPr>
        <w:spacing w:after="100"/>
        <w:jc w:val="center"/>
      </w:pPr>
      <w:r>
        <w:rPr>
          <w:noProof/>
        </w:rPr>
        <w:drawing>
          <wp:inline distT="114300" distB="114300" distL="114300" distR="114300" wp14:anchorId="64ABB5DE" wp14:editId="2A6CF299">
            <wp:extent cx="5943600" cy="49784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4978400"/>
                    </a:xfrm>
                    <a:prstGeom prst="rect">
                      <a:avLst/>
                    </a:prstGeom>
                    <a:ln/>
                  </pic:spPr>
                </pic:pic>
              </a:graphicData>
            </a:graphic>
          </wp:inline>
        </w:drawing>
      </w:r>
    </w:p>
    <w:p w14:paraId="335DBB5D" w14:textId="77777777" w:rsidR="00853DB5" w:rsidRDefault="00000000">
      <w:pPr>
        <w:spacing w:after="280"/>
        <w:jc w:val="both"/>
      </w:pPr>
      <w:r>
        <w:rPr>
          <w:rFonts w:ascii="Arial" w:eastAsia="Arial" w:hAnsi="Arial" w:cs="Arial"/>
          <w:i/>
          <w:iCs/>
        </w:rPr>
        <w:t xml:space="preserve">Nota. </w:t>
      </w:r>
      <w:r>
        <w:rPr>
          <w:rFonts w:ascii="Arial" w:eastAsia="Arial" w:hAnsi="Arial" w:cs="Arial"/>
        </w:rPr>
        <w:t>Adaptado de Haki y Safaei (2024), Jarzębowicz et al. (2025) y Wessel et al. (2025).</w:t>
      </w:r>
    </w:p>
    <w:p w14:paraId="2DE9AA9D" w14:textId="77777777" w:rsidR="00853DB5" w:rsidRDefault="00000000">
      <w:pPr>
        <w:pBdr>
          <w:left w:val="single" w:sz="12" w:space="8" w:color="2E5395"/>
        </w:pBdr>
        <w:shd w:val="clear" w:color="auto" w:fill="EEF2FA"/>
        <w:spacing w:before="80" w:after="240"/>
        <w:ind w:left="200" w:right="200"/>
        <w:jc w:val="both"/>
      </w:pPr>
      <w:r>
        <w:rPr>
          <w:rFonts w:ascii="Arial" w:eastAsia="Arial" w:hAnsi="Arial" w:cs="Arial"/>
          <w:b/>
          <w:bCs/>
          <w:i/>
          <w:iCs/>
          <w:sz w:val="22"/>
          <w:szCs w:val="22"/>
        </w:rPr>
        <w:t xml:space="preserve">Síntesis. </w:t>
      </w:r>
      <w:r>
        <w:rPr>
          <w:rFonts w:ascii="Arial" w:eastAsia="Arial" w:hAnsi="Arial" w:cs="Arial"/>
          <w:i/>
          <w:iCs/>
          <w:sz w:val="22"/>
          <w:szCs w:val="22"/>
        </w:rPr>
        <w:t>El marco TOE muestra que ninguna de sus tres dimensiones —tecnológica, organizacional o de entorno— basta por sí sola: la adopción exitosa de la IAGen depende de su ajuste conjunto, y ese ajuste es precisamente lo que el mapa de contexto (Figura 2.4) y la matriz de aplicación (Figura 2.5) traducen a decisiones concretas sobre ventas e inventarios.</w:t>
      </w:r>
    </w:p>
    <w:p w14:paraId="78431BFA" w14:textId="77777777" w:rsidR="00853DB5" w:rsidRDefault="00000000">
      <w:pPr>
        <w:pStyle w:val="Ttulo2"/>
        <w:spacing w:before="300" w:after="160"/>
      </w:pPr>
      <w:r>
        <w:rPr>
          <w:rFonts w:ascii="Arial" w:eastAsia="Arial" w:hAnsi="Arial" w:cs="Arial"/>
          <w:b/>
          <w:bCs/>
          <w:color w:val="2E5395"/>
        </w:rPr>
        <w:t>2.5 Resumen, preguntas de reflexión y actividad práctica de diagnóstico del caso faro</w:t>
      </w:r>
    </w:p>
    <w:p w14:paraId="419548F2" w14:textId="77777777" w:rsidR="00853DB5" w:rsidRDefault="00000000">
      <w:pPr>
        <w:spacing w:after="200" w:line="276" w:lineRule="auto"/>
        <w:jc w:val="both"/>
      </w:pPr>
      <w:r>
        <w:rPr>
          <w:rFonts w:ascii="Arial" w:eastAsia="Arial" w:hAnsi="Arial" w:cs="Arial"/>
          <w:sz w:val="22"/>
          <w:szCs w:val="22"/>
        </w:rPr>
        <w:t xml:space="preserve">La literatura reciente en sistemas de información sintetiza la IAGen como un fenómeno esencialmente sociotécnico, caracterizado por un desajuste temporal entre un subsistema técnico de rápido avance y un subsistema social y regulatorio de adaptación más lenta (Jarzębowicz et al., 2025). Si bien la IAGen genera beneficios significativos en productividad laboral, automatización de software, soporte a la toma de decisiones y personalización de </w:t>
      </w:r>
      <w:r>
        <w:rPr>
          <w:rFonts w:ascii="Arial" w:eastAsia="Arial" w:hAnsi="Arial" w:cs="Arial"/>
          <w:sz w:val="22"/>
          <w:szCs w:val="22"/>
        </w:rPr>
        <w:lastRenderedPageBreak/>
        <w:t>servicios, su adopción masiva está limitada por desafíos críticos como la inestabilidad técnica (alucinaciones y deriva de rendimiento), la vulnerabilidad ética y la falta de marcos consolidados de gobernanza y privacidad (</w:t>
      </w:r>
      <w:proofErr w:type="spellStart"/>
      <w:r>
        <w:rPr>
          <w:rFonts w:ascii="Arial" w:eastAsia="Arial" w:hAnsi="Arial" w:cs="Arial"/>
          <w:sz w:val="22"/>
          <w:szCs w:val="22"/>
        </w:rPr>
        <w:t>Jarzębowicz</w:t>
      </w:r>
      <w:proofErr w:type="spellEnd"/>
      <w:r>
        <w:rPr>
          <w:rFonts w:ascii="Arial" w:eastAsia="Arial" w:hAnsi="Arial" w:cs="Arial"/>
          <w:sz w:val="22"/>
          <w:szCs w:val="22"/>
        </w:rPr>
        <w:t xml:space="preserve"> et al., 2025). La Figura 2.6 sintetiza el flujo metodológico completo del capítulo, desde la base operativa hasta la cúpula estratégica.</w:t>
      </w:r>
    </w:p>
    <w:p w14:paraId="171C40F6" w14:textId="77777777" w:rsidR="00853DB5" w:rsidRPr="006E08A5" w:rsidRDefault="00000000">
      <w:pPr>
        <w:pStyle w:val="Ttulo3"/>
        <w:spacing w:before="200" w:after="120"/>
        <w:rPr>
          <w:highlight w:val="yellow"/>
        </w:rPr>
      </w:pPr>
      <w:r w:rsidRPr="006E08A5">
        <w:rPr>
          <w:rFonts w:ascii="Arial" w:eastAsia="Arial" w:hAnsi="Arial" w:cs="Arial"/>
          <w:b/>
          <w:bCs/>
          <w:sz w:val="22"/>
          <w:szCs w:val="22"/>
          <w:highlight w:val="yellow"/>
        </w:rPr>
        <w:t>Preguntas de reflexión</w:t>
      </w:r>
    </w:p>
    <w:p w14:paraId="31F4D710" w14:textId="77777777" w:rsidR="00853DB5" w:rsidRPr="006E08A5" w:rsidRDefault="00000000">
      <w:pPr>
        <w:numPr>
          <w:ilvl w:val="0"/>
          <w:numId w:val="1"/>
        </w:numPr>
        <w:pBdr>
          <w:top w:val="nil"/>
          <w:left w:val="nil"/>
          <w:bottom w:val="nil"/>
          <w:right w:val="nil"/>
          <w:between w:val="nil"/>
        </w:pBdr>
        <w:spacing w:after="140"/>
        <w:jc w:val="both"/>
        <w:rPr>
          <w:highlight w:val="yellow"/>
        </w:rPr>
      </w:pPr>
      <w:r w:rsidRPr="006E08A5">
        <w:rPr>
          <w:rFonts w:ascii="Arial" w:eastAsia="Arial" w:hAnsi="Arial" w:cs="Arial"/>
          <w:color w:val="000000"/>
          <w:sz w:val="22"/>
          <w:szCs w:val="22"/>
          <w:highlight w:val="yellow"/>
        </w:rPr>
        <w:t>¿Cómo pueden las organizaciones equilibrar la democratización del acceso a herramientas de IAGen para fomentar la innovación interna sin comprometer la seguridad de la información y la gobernanza de TI? (</w:t>
      </w:r>
      <w:proofErr w:type="spellStart"/>
      <w:r w:rsidRPr="006E08A5">
        <w:rPr>
          <w:rFonts w:ascii="Arial" w:eastAsia="Arial" w:hAnsi="Arial" w:cs="Arial"/>
          <w:color w:val="000000"/>
          <w:sz w:val="22"/>
          <w:szCs w:val="22"/>
          <w:highlight w:val="yellow"/>
        </w:rPr>
        <w:t>Jarzębowicz</w:t>
      </w:r>
      <w:proofErr w:type="spellEnd"/>
      <w:r w:rsidRPr="006E08A5">
        <w:rPr>
          <w:rFonts w:ascii="Arial" w:eastAsia="Arial" w:hAnsi="Arial" w:cs="Arial"/>
          <w:color w:val="000000"/>
          <w:sz w:val="22"/>
          <w:szCs w:val="22"/>
          <w:highlight w:val="yellow"/>
        </w:rPr>
        <w:t xml:space="preserve"> et al., 2025).</w:t>
      </w:r>
    </w:p>
    <w:p w14:paraId="18EB5569" w14:textId="77777777" w:rsidR="00853DB5" w:rsidRPr="006E08A5" w:rsidRDefault="00000000">
      <w:pPr>
        <w:numPr>
          <w:ilvl w:val="0"/>
          <w:numId w:val="1"/>
        </w:numPr>
        <w:pBdr>
          <w:top w:val="nil"/>
          <w:left w:val="nil"/>
          <w:bottom w:val="nil"/>
          <w:right w:val="nil"/>
          <w:between w:val="nil"/>
        </w:pBdr>
        <w:spacing w:after="140"/>
        <w:jc w:val="both"/>
        <w:rPr>
          <w:highlight w:val="yellow"/>
        </w:rPr>
      </w:pPr>
      <w:r w:rsidRPr="006E08A5">
        <w:rPr>
          <w:rFonts w:ascii="Arial" w:eastAsia="Arial" w:hAnsi="Arial" w:cs="Arial"/>
          <w:color w:val="000000"/>
          <w:sz w:val="22"/>
          <w:szCs w:val="22"/>
          <w:highlight w:val="yellow"/>
        </w:rPr>
        <w:t>Ante el riesgo de alucinaciones y comportamiento probabilístico de los LLM, ¿cuáles son las mejores prácticas sociotécnicas para mantener la responsabilidad y el control humano (</w:t>
      </w:r>
      <w:r w:rsidRPr="006E08A5">
        <w:rPr>
          <w:rFonts w:ascii="Arial" w:eastAsia="Arial" w:hAnsi="Arial" w:cs="Arial"/>
          <w:i/>
          <w:iCs/>
          <w:color w:val="000000"/>
          <w:sz w:val="22"/>
          <w:szCs w:val="22"/>
          <w:highlight w:val="yellow"/>
        </w:rPr>
        <w:t>human-in-</w:t>
      </w:r>
      <w:proofErr w:type="spellStart"/>
      <w:r w:rsidRPr="006E08A5">
        <w:rPr>
          <w:rFonts w:ascii="Arial" w:eastAsia="Arial" w:hAnsi="Arial" w:cs="Arial"/>
          <w:i/>
          <w:iCs/>
          <w:color w:val="000000"/>
          <w:sz w:val="22"/>
          <w:szCs w:val="22"/>
          <w:highlight w:val="yellow"/>
        </w:rPr>
        <w:t>the</w:t>
      </w:r>
      <w:proofErr w:type="spellEnd"/>
      <w:r w:rsidRPr="006E08A5">
        <w:rPr>
          <w:rFonts w:ascii="Arial" w:eastAsia="Arial" w:hAnsi="Arial" w:cs="Arial"/>
          <w:i/>
          <w:iCs/>
          <w:color w:val="000000"/>
          <w:sz w:val="22"/>
          <w:szCs w:val="22"/>
          <w:highlight w:val="yellow"/>
        </w:rPr>
        <w:t>-</w:t>
      </w:r>
      <w:proofErr w:type="spellStart"/>
      <w:r w:rsidRPr="006E08A5">
        <w:rPr>
          <w:rFonts w:ascii="Arial" w:eastAsia="Arial" w:hAnsi="Arial" w:cs="Arial"/>
          <w:i/>
          <w:iCs/>
          <w:color w:val="000000"/>
          <w:sz w:val="22"/>
          <w:szCs w:val="22"/>
          <w:highlight w:val="yellow"/>
        </w:rPr>
        <w:t>loop</w:t>
      </w:r>
      <w:proofErr w:type="spellEnd"/>
      <w:r w:rsidRPr="006E08A5">
        <w:rPr>
          <w:rFonts w:ascii="Arial" w:eastAsia="Arial" w:hAnsi="Arial" w:cs="Arial"/>
          <w:color w:val="000000"/>
          <w:sz w:val="22"/>
          <w:szCs w:val="22"/>
          <w:highlight w:val="yellow"/>
        </w:rPr>
        <w:t>) en sistemas de decisión críticos? (</w:t>
      </w:r>
      <w:proofErr w:type="spellStart"/>
      <w:r w:rsidRPr="006E08A5">
        <w:rPr>
          <w:rFonts w:ascii="Arial" w:eastAsia="Arial" w:hAnsi="Arial" w:cs="Arial"/>
          <w:color w:val="000000"/>
          <w:sz w:val="22"/>
          <w:szCs w:val="22"/>
          <w:highlight w:val="yellow"/>
        </w:rPr>
        <w:t>Jarzębowicz</w:t>
      </w:r>
      <w:proofErr w:type="spellEnd"/>
      <w:r w:rsidRPr="006E08A5">
        <w:rPr>
          <w:rFonts w:ascii="Arial" w:eastAsia="Arial" w:hAnsi="Arial" w:cs="Arial"/>
          <w:color w:val="000000"/>
          <w:sz w:val="22"/>
          <w:szCs w:val="22"/>
          <w:highlight w:val="yellow"/>
        </w:rPr>
        <w:t xml:space="preserve"> et al., 2025).</w:t>
      </w:r>
    </w:p>
    <w:p w14:paraId="17385365" w14:textId="77777777" w:rsidR="00853DB5" w:rsidRPr="006E08A5" w:rsidRDefault="00000000">
      <w:pPr>
        <w:numPr>
          <w:ilvl w:val="0"/>
          <w:numId w:val="1"/>
        </w:numPr>
        <w:pBdr>
          <w:top w:val="nil"/>
          <w:left w:val="nil"/>
          <w:bottom w:val="nil"/>
          <w:right w:val="nil"/>
          <w:between w:val="nil"/>
        </w:pBdr>
        <w:spacing w:after="140"/>
        <w:jc w:val="both"/>
        <w:rPr>
          <w:highlight w:val="yellow"/>
        </w:rPr>
      </w:pPr>
      <w:r w:rsidRPr="006E08A5">
        <w:rPr>
          <w:rFonts w:ascii="Arial" w:eastAsia="Arial" w:hAnsi="Arial" w:cs="Arial"/>
          <w:color w:val="000000"/>
          <w:sz w:val="22"/>
          <w:szCs w:val="22"/>
          <w:highlight w:val="yellow"/>
        </w:rPr>
        <w:t>¿De qué manera el marco TOE permite a las organizaciones de economías emergentes identificar sus vacíos infraestructurales antes de invertir en soluciones basadas en IAGen? (Tewari et al., 2026).</w:t>
      </w:r>
    </w:p>
    <w:p w14:paraId="66E410A5" w14:textId="77777777" w:rsidR="00853DB5" w:rsidRPr="00513650" w:rsidRDefault="00000000">
      <w:pPr>
        <w:pStyle w:val="Ttulo3"/>
        <w:spacing w:before="200" w:after="120"/>
      </w:pPr>
      <w:r w:rsidRPr="00513650">
        <w:rPr>
          <w:rFonts w:ascii="Arial" w:eastAsia="Arial" w:hAnsi="Arial" w:cs="Arial"/>
          <w:b/>
          <w:bCs/>
          <w:sz w:val="22"/>
          <w:szCs w:val="22"/>
        </w:rPr>
        <w:t>Actividad práctica de diagnóstico del caso faro</w:t>
      </w:r>
    </w:p>
    <w:p w14:paraId="565F8AAB" w14:textId="5595A572" w:rsidR="00853DB5" w:rsidRPr="00513650" w:rsidRDefault="00000000">
      <w:pPr>
        <w:numPr>
          <w:ilvl w:val="0"/>
          <w:numId w:val="2"/>
        </w:numPr>
        <w:pBdr>
          <w:top w:val="nil"/>
          <w:left w:val="nil"/>
          <w:bottom w:val="nil"/>
          <w:right w:val="nil"/>
          <w:between w:val="nil"/>
        </w:pBdr>
        <w:spacing w:after="120"/>
        <w:jc w:val="both"/>
      </w:pPr>
      <w:r w:rsidRPr="00513650">
        <w:rPr>
          <w:rFonts w:ascii="Arial" w:eastAsia="Arial" w:hAnsi="Arial" w:cs="Arial"/>
          <w:b/>
          <w:bCs/>
          <w:color w:val="000000"/>
          <w:sz w:val="22"/>
          <w:szCs w:val="22"/>
        </w:rPr>
        <w:t xml:space="preserve">Objetivo: </w:t>
      </w:r>
      <w:r w:rsidRPr="00513650">
        <w:rPr>
          <w:rFonts w:ascii="Arial" w:eastAsia="Arial" w:hAnsi="Arial" w:cs="Arial"/>
          <w:color w:val="000000"/>
          <w:sz w:val="22"/>
          <w:szCs w:val="22"/>
        </w:rPr>
        <w:t>desarrollar un diagnóstico</w:t>
      </w:r>
      <w:r w:rsidR="009615A7" w:rsidRPr="00513650">
        <w:rPr>
          <w:rFonts w:ascii="Arial" w:eastAsia="Arial" w:hAnsi="Arial" w:cs="Arial"/>
          <w:color w:val="000000"/>
          <w:sz w:val="22"/>
          <w:szCs w:val="22"/>
        </w:rPr>
        <w:t xml:space="preserve"> (en base al PP y la MTZ KANBAN)</w:t>
      </w:r>
      <w:r w:rsidRPr="00513650">
        <w:rPr>
          <w:rFonts w:ascii="Arial" w:eastAsia="Arial" w:hAnsi="Arial" w:cs="Arial"/>
          <w:color w:val="000000"/>
          <w:sz w:val="22"/>
          <w:szCs w:val="22"/>
        </w:rPr>
        <w:t xml:space="preserve"> sociotécnico de la capacidad de preparación e integración de la IAGen en un proceso organizacional específico.</w:t>
      </w:r>
    </w:p>
    <w:p w14:paraId="2A579E36" w14:textId="5080EA20" w:rsidR="00853DB5" w:rsidRPr="00513650" w:rsidRDefault="00000000">
      <w:pPr>
        <w:numPr>
          <w:ilvl w:val="0"/>
          <w:numId w:val="2"/>
        </w:numPr>
        <w:pBdr>
          <w:top w:val="nil"/>
          <w:left w:val="nil"/>
          <w:bottom w:val="nil"/>
          <w:right w:val="nil"/>
          <w:between w:val="nil"/>
        </w:pBdr>
        <w:spacing w:after="120"/>
        <w:jc w:val="both"/>
      </w:pPr>
      <w:r w:rsidRPr="00513650">
        <w:rPr>
          <w:rFonts w:ascii="Arial" w:eastAsia="Arial" w:hAnsi="Arial" w:cs="Arial"/>
          <w:b/>
          <w:bCs/>
          <w:color w:val="000000"/>
          <w:sz w:val="22"/>
          <w:szCs w:val="22"/>
        </w:rPr>
        <w:t xml:space="preserve">Paso 1: </w:t>
      </w:r>
      <w:r w:rsidRPr="00513650">
        <w:rPr>
          <w:rFonts w:ascii="Arial" w:eastAsia="Arial" w:hAnsi="Arial" w:cs="Arial"/>
          <w:color w:val="000000"/>
          <w:sz w:val="22"/>
          <w:szCs w:val="22"/>
        </w:rPr>
        <w:t>evaluar el proceso seleccionado mediante la matriz</w:t>
      </w:r>
      <w:r w:rsidR="00CC4305" w:rsidRPr="00513650">
        <w:rPr>
          <w:rFonts w:ascii="Arial" w:eastAsia="Arial" w:hAnsi="Arial" w:cs="Arial"/>
          <w:color w:val="000000"/>
          <w:sz w:val="22"/>
          <w:szCs w:val="22"/>
        </w:rPr>
        <w:t xml:space="preserve"> KANBAN</w:t>
      </w:r>
      <w:r w:rsidRPr="00513650">
        <w:rPr>
          <w:rFonts w:ascii="Arial" w:eastAsia="Arial" w:hAnsi="Arial" w:cs="Arial"/>
          <w:color w:val="000000"/>
          <w:sz w:val="22"/>
          <w:szCs w:val="22"/>
        </w:rPr>
        <w:t>, identificando el nivel de madurez tecnológica, el liderazgo directivo y las presiones del entorno (Tewari et al., 2026).</w:t>
      </w:r>
    </w:p>
    <w:p w14:paraId="412711DD" w14:textId="60C88261" w:rsidR="00513650" w:rsidRDefault="00513650" w:rsidP="00513650">
      <w:pPr>
        <w:pBdr>
          <w:top w:val="nil"/>
          <w:left w:val="nil"/>
          <w:bottom w:val="nil"/>
          <w:right w:val="nil"/>
          <w:between w:val="nil"/>
        </w:pBdr>
        <w:spacing w:after="120"/>
        <w:ind w:left="720"/>
        <w:jc w:val="both"/>
        <w:rPr>
          <w:rFonts w:ascii="Arial" w:eastAsia="Arial" w:hAnsi="Arial" w:cs="Arial"/>
          <w:color w:val="000000"/>
          <w:sz w:val="22"/>
          <w:szCs w:val="22"/>
        </w:rPr>
      </w:pPr>
      <w:r>
        <w:rPr>
          <w:rFonts w:ascii="Arial" w:eastAsia="Arial" w:hAnsi="Arial" w:cs="Arial"/>
          <w:color w:val="000000"/>
          <w:sz w:val="22"/>
          <w:szCs w:val="22"/>
        </w:rPr>
        <w:t>Para esta actividad práctica usaremos la última versión de la Matriz Kanban del aplicativo “Los Huertos del JuanK”. Dentro de esto analizaremos los nivele de madurez tecnológica, el liderazgo directivo y las personas del entorno.</w:t>
      </w:r>
    </w:p>
    <w:tbl>
      <w:tblPr>
        <w:tblStyle w:val="Tablanormal2"/>
        <w:tblW w:w="9439" w:type="dxa"/>
        <w:tblInd w:w="626" w:type="dxa"/>
        <w:tblLook w:val="04A0" w:firstRow="1" w:lastRow="0" w:firstColumn="1" w:lastColumn="0" w:noHBand="0" w:noVBand="1"/>
      </w:tblPr>
      <w:tblGrid>
        <w:gridCol w:w="1800"/>
        <w:gridCol w:w="3670"/>
        <w:gridCol w:w="3969"/>
      </w:tblGrid>
      <w:tr w:rsidR="00CC593F" w:rsidRPr="0082786A" w14:paraId="7B9FA5F5" w14:textId="77777777" w:rsidTr="008B0F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12B6E485" w14:textId="21C074B1" w:rsidR="00CC593F" w:rsidRPr="0082786A" w:rsidRDefault="00CC593F" w:rsidP="0033581F">
            <w:pPr>
              <w:spacing w:line="360" w:lineRule="auto"/>
              <w:jc w:val="center"/>
              <w:rPr>
                <w:rFonts w:ascii="Arial" w:eastAsia="Arial" w:hAnsi="Arial" w:cs="Arial"/>
                <w:b w:val="0"/>
                <w:bCs w:val="0"/>
              </w:rPr>
            </w:pPr>
            <w:r>
              <w:rPr>
                <w:rFonts w:ascii="Arial" w:eastAsia="Arial" w:hAnsi="Arial" w:cs="Arial"/>
              </w:rPr>
              <w:t>Dimensión</w:t>
            </w:r>
            <w:r w:rsidR="000E6BC2">
              <w:rPr>
                <w:rFonts w:ascii="Arial" w:eastAsia="Arial" w:hAnsi="Arial" w:cs="Arial"/>
              </w:rPr>
              <w:t xml:space="preserve"> TOE</w:t>
            </w:r>
          </w:p>
        </w:tc>
        <w:tc>
          <w:tcPr>
            <w:tcW w:w="3670" w:type="dxa"/>
            <w:hideMark/>
          </w:tcPr>
          <w:p w14:paraId="0D696DC7" w14:textId="6792B3B1" w:rsidR="00CC593F" w:rsidRPr="0082786A" w:rsidRDefault="000E6BC2" w:rsidP="003358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Pr>
                <w:rFonts w:ascii="Arial" w:eastAsia="Arial" w:hAnsi="Arial" w:cs="Arial"/>
              </w:rPr>
              <w:t>Tareas de Kanban Asociadas</w:t>
            </w:r>
          </w:p>
        </w:tc>
        <w:tc>
          <w:tcPr>
            <w:tcW w:w="3969" w:type="dxa"/>
            <w:hideMark/>
          </w:tcPr>
          <w:p w14:paraId="20A52C42" w14:textId="7878B305" w:rsidR="00CC593F" w:rsidRPr="0082786A" w:rsidRDefault="000E6BC2" w:rsidP="003358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Pr>
                <w:rFonts w:ascii="Arial" w:eastAsia="Arial" w:hAnsi="Arial" w:cs="Arial"/>
              </w:rPr>
              <w:t>Descripción sociotécnica</w:t>
            </w:r>
          </w:p>
        </w:tc>
      </w:tr>
      <w:tr w:rsidR="00CC593F" w:rsidRPr="0082786A" w14:paraId="1DE59270" w14:textId="77777777" w:rsidTr="008B0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36AE9ADF" w14:textId="3639E06B" w:rsidR="00CC593F" w:rsidRPr="0082786A" w:rsidRDefault="000E6BC2" w:rsidP="0033581F">
            <w:pPr>
              <w:spacing w:line="360" w:lineRule="auto"/>
              <w:rPr>
                <w:rFonts w:ascii="Arial" w:eastAsia="Arial" w:hAnsi="Arial" w:cs="Arial"/>
              </w:rPr>
            </w:pPr>
            <w:r>
              <w:rPr>
                <w:rFonts w:ascii="Arial" w:eastAsia="Arial" w:hAnsi="Arial" w:cs="Arial"/>
              </w:rPr>
              <w:t>Tecnológica</w:t>
            </w:r>
          </w:p>
        </w:tc>
        <w:tc>
          <w:tcPr>
            <w:tcW w:w="3670" w:type="dxa"/>
            <w:hideMark/>
          </w:tcPr>
          <w:p w14:paraId="3D4887AC" w14:textId="77777777" w:rsidR="00CC593F" w:rsidRDefault="002534C6" w:rsidP="0033581F">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534C6">
              <w:rPr>
                <w:rFonts w:ascii="Arial" w:eastAsia="Arial" w:hAnsi="Arial" w:cs="Arial"/>
                <w:b/>
                <w:bCs/>
              </w:rPr>
              <w:t>Modelado y Arquitectura:</w:t>
            </w:r>
            <w:r>
              <w:rPr>
                <w:rFonts w:ascii="Arial" w:eastAsia="Arial" w:hAnsi="Arial" w:cs="Arial"/>
              </w:rPr>
              <w:t xml:space="preserve"> Tareas 17 y 18.</w:t>
            </w:r>
          </w:p>
          <w:p w14:paraId="38DF2690" w14:textId="77777777" w:rsidR="002534C6" w:rsidRDefault="002534C6" w:rsidP="0033581F">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534C6">
              <w:rPr>
                <w:rFonts w:ascii="Arial" w:eastAsia="Arial" w:hAnsi="Arial" w:cs="Arial"/>
                <w:b/>
                <w:bCs/>
              </w:rPr>
              <w:t>Desarrollo de requisitos:</w:t>
            </w:r>
            <w:r>
              <w:rPr>
                <w:rFonts w:ascii="Arial" w:eastAsia="Arial" w:hAnsi="Arial" w:cs="Arial"/>
              </w:rPr>
              <w:t xml:space="preserve"> Tareas 22 a 26, Tareas 30 a 33 y Tareas 45 48 (Sprint 1, 2 y 3, respectivamente)</w:t>
            </w:r>
          </w:p>
          <w:p w14:paraId="63782205" w14:textId="31281E91" w:rsidR="002534C6" w:rsidRPr="002534C6" w:rsidRDefault="002534C6" w:rsidP="0033581F">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sidRPr="002534C6">
              <w:rPr>
                <w:rFonts w:ascii="Arial" w:eastAsia="Arial" w:hAnsi="Arial" w:cs="Arial"/>
                <w:b/>
                <w:bCs/>
              </w:rPr>
              <w:t>Testing</w:t>
            </w:r>
            <w:proofErr w:type="spellEnd"/>
            <w:r w:rsidRPr="002534C6">
              <w:rPr>
                <w:rFonts w:ascii="Arial" w:eastAsia="Arial" w:hAnsi="Arial" w:cs="Arial"/>
                <w:b/>
                <w:bCs/>
              </w:rPr>
              <w:t xml:space="preserve"> (Caja blanca y negra):</w:t>
            </w:r>
            <w:r>
              <w:rPr>
                <w:rFonts w:ascii="Arial" w:eastAsia="Arial" w:hAnsi="Arial" w:cs="Arial"/>
              </w:rPr>
              <w:t xml:space="preserve"> Tareas 34 a 42 y tareas 49 a 52.</w:t>
            </w:r>
          </w:p>
        </w:tc>
        <w:tc>
          <w:tcPr>
            <w:tcW w:w="3969" w:type="dxa"/>
            <w:hideMark/>
          </w:tcPr>
          <w:p w14:paraId="12BDFED3" w14:textId="6235327A" w:rsidR="00CC593F" w:rsidRPr="0082786A" w:rsidRDefault="008B0FC8" w:rsidP="0033581F">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B0FC8">
              <w:rPr>
                <w:rFonts w:ascii="Arial" w:eastAsia="Arial" w:hAnsi="Arial" w:cs="Arial"/>
              </w:rPr>
              <w:t>Evalúa la infraestructura y competencias para integrar IAGen en el diseño de código y casos de prueba (caja negra y blanca). El desafío técnico radica en prevenir alucinaciones o errores de lógica en las reglas del sistema mediante revisión rigurosa.</w:t>
            </w:r>
          </w:p>
        </w:tc>
      </w:tr>
      <w:tr w:rsidR="00CC593F" w:rsidRPr="0082786A" w14:paraId="6FB42AAA" w14:textId="77777777" w:rsidTr="008B0FC8">
        <w:tc>
          <w:tcPr>
            <w:cnfStyle w:val="001000000000" w:firstRow="0" w:lastRow="0" w:firstColumn="1" w:lastColumn="0" w:oddVBand="0" w:evenVBand="0" w:oddHBand="0" w:evenHBand="0" w:firstRowFirstColumn="0" w:firstRowLastColumn="0" w:lastRowFirstColumn="0" w:lastRowLastColumn="0"/>
            <w:tcW w:w="1800" w:type="dxa"/>
            <w:hideMark/>
          </w:tcPr>
          <w:p w14:paraId="0B2F857E" w14:textId="1FF23205" w:rsidR="00CC593F" w:rsidRDefault="000E6BC2" w:rsidP="0033581F">
            <w:pPr>
              <w:spacing w:line="360" w:lineRule="auto"/>
              <w:rPr>
                <w:rFonts w:ascii="Arial" w:eastAsia="Arial" w:hAnsi="Arial" w:cs="Arial"/>
                <w:b w:val="0"/>
                <w:bCs w:val="0"/>
              </w:rPr>
            </w:pPr>
            <w:r>
              <w:rPr>
                <w:rFonts w:ascii="Arial" w:eastAsia="Arial" w:hAnsi="Arial" w:cs="Arial"/>
              </w:rPr>
              <w:t>Organizacional</w:t>
            </w:r>
          </w:p>
          <w:p w14:paraId="3920EC18" w14:textId="77777777" w:rsidR="00CC593F" w:rsidRPr="0082786A" w:rsidRDefault="00CC593F" w:rsidP="0033581F">
            <w:pPr>
              <w:spacing w:line="360" w:lineRule="auto"/>
              <w:rPr>
                <w:rFonts w:ascii="Arial" w:eastAsia="Arial" w:hAnsi="Arial" w:cs="Arial"/>
              </w:rPr>
            </w:pPr>
          </w:p>
        </w:tc>
        <w:tc>
          <w:tcPr>
            <w:tcW w:w="3670" w:type="dxa"/>
            <w:hideMark/>
          </w:tcPr>
          <w:p w14:paraId="1A2C1D5C" w14:textId="77777777" w:rsidR="00CC593F" w:rsidRDefault="002534C6" w:rsidP="0033581F">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26FD6">
              <w:rPr>
                <w:rFonts w:ascii="Arial" w:eastAsia="Arial" w:hAnsi="Arial" w:cs="Arial"/>
                <w:b/>
                <w:bCs/>
              </w:rPr>
              <w:t>Gestión</w:t>
            </w:r>
            <w:r w:rsidR="00F23D30" w:rsidRPr="00326FD6">
              <w:rPr>
                <w:rFonts w:ascii="Arial" w:eastAsia="Arial" w:hAnsi="Arial" w:cs="Arial"/>
                <w:b/>
                <w:bCs/>
              </w:rPr>
              <w:t xml:space="preserve"> y Control de Alcance:</w:t>
            </w:r>
            <w:r w:rsidR="00F23D30">
              <w:rPr>
                <w:rFonts w:ascii="Arial" w:eastAsia="Arial" w:hAnsi="Arial" w:cs="Arial"/>
              </w:rPr>
              <w:t xml:space="preserve"> </w:t>
            </w:r>
            <w:r w:rsidR="00326FD6">
              <w:rPr>
                <w:rFonts w:ascii="Arial" w:eastAsia="Arial" w:hAnsi="Arial" w:cs="Arial"/>
              </w:rPr>
              <w:t>Tareas 7, 8 ,15, 19,20 y 55.</w:t>
            </w:r>
          </w:p>
          <w:p w14:paraId="4D5F5F17" w14:textId="77777777" w:rsidR="00326FD6" w:rsidRDefault="00326FD6" w:rsidP="0033581F">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26FD6">
              <w:rPr>
                <w:rFonts w:ascii="Arial" w:eastAsia="Arial" w:hAnsi="Arial" w:cs="Arial"/>
                <w:b/>
                <w:bCs/>
              </w:rPr>
              <w:t>Gobernanza y Revisiones Directivas:</w:t>
            </w:r>
            <w:r>
              <w:rPr>
                <w:rFonts w:ascii="Arial" w:eastAsia="Arial" w:hAnsi="Arial" w:cs="Arial"/>
              </w:rPr>
              <w:t xml:space="preserve"> Tareas 4, 9, 10 y 56.</w:t>
            </w:r>
          </w:p>
          <w:p w14:paraId="3F0E2CD6" w14:textId="0FABD26D" w:rsidR="00326FD6" w:rsidRPr="0082786A" w:rsidRDefault="00326FD6" w:rsidP="0033581F">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326FD6">
              <w:rPr>
                <w:rFonts w:ascii="Arial" w:eastAsia="Arial" w:hAnsi="Arial" w:cs="Arial"/>
                <w:b/>
                <w:bCs/>
              </w:rPr>
              <w:lastRenderedPageBreak/>
              <w:t>Hitos de Entrega:</w:t>
            </w:r>
            <w:r>
              <w:rPr>
                <w:rFonts w:ascii="Arial" w:eastAsia="Arial" w:hAnsi="Arial" w:cs="Arial"/>
              </w:rPr>
              <w:t xml:space="preserve"> Tareas 14 y 60.</w:t>
            </w:r>
          </w:p>
        </w:tc>
        <w:tc>
          <w:tcPr>
            <w:tcW w:w="3969" w:type="dxa"/>
            <w:hideMark/>
          </w:tcPr>
          <w:p w14:paraId="1DDAD899" w14:textId="1B047867" w:rsidR="00CC593F" w:rsidRPr="0082786A" w:rsidRDefault="008B0FC8" w:rsidP="0033581F">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B0FC8">
              <w:rPr>
                <w:rFonts w:ascii="Arial" w:eastAsia="Arial" w:hAnsi="Arial" w:cs="Arial"/>
              </w:rPr>
              <w:lastRenderedPageBreak/>
              <w:t>Examina la planificación ágil y las políticas de supervisión del equipo directivo. Establece controles para regular el uso de IA</w:t>
            </w:r>
            <w:r>
              <w:rPr>
                <w:rFonts w:ascii="Arial" w:eastAsia="Arial" w:hAnsi="Arial" w:cs="Arial"/>
              </w:rPr>
              <w:t xml:space="preserve">, </w:t>
            </w:r>
            <w:r w:rsidRPr="008B0FC8">
              <w:rPr>
                <w:rFonts w:ascii="Arial" w:eastAsia="Arial" w:hAnsi="Arial" w:cs="Arial"/>
                <w:i/>
                <w:iCs/>
              </w:rPr>
              <w:t xml:space="preserve">evitar Shadow </w:t>
            </w:r>
            <w:r w:rsidRPr="008B0FC8">
              <w:rPr>
                <w:rFonts w:ascii="Arial" w:eastAsia="Arial" w:hAnsi="Arial" w:cs="Arial"/>
                <w:i/>
                <w:iCs/>
              </w:rPr>
              <w:lastRenderedPageBreak/>
              <w:t>A</w:t>
            </w:r>
            <w:r>
              <w:rPr>
                <w:rFonts w:ascii="Arial" w:eastAsia="Arial" w:hAnsi="Arial" w:cs="Arial"/>
                <w:i/>
                <w:iCs/>
              </w:rPr>
              <w:t>I,</w:t>
            </w:r>
            <w:r w:rsidRPr="008B0FC8">
              <w:rPr>
                <w:rFonts w:ascii="Arial" w:eastAsia="Arial" w:hAnsi="Arial" w:cs="Arial"/>
              </w:rPr>
              <w:t xml:space="preserve"> e institucionaliza el criterio humano (</w:t>
            </w:r>
            <w:r w:rsidRPr="008B0FC8">
              <w:rPr>
                <w:rFonts w:ascii="Arial" w:eastAsia="Arial" w:hAnsi="Arial" w:cs="Arial"/>
                <w:i/>
                <w:iCs/>
              </w:rPr>
              <w:t>Human-in-</w:t>
            </w:r>
            <w:proofErr w:type="spellStart"/>
            <w:r w:rsidRPr="008B0FC8">
              <w:rPr>
                <w:rFonts w:ascii="Arial" w:eastAsia="Arial" w:hAnsi="Arial" w:cs="Arial"/>
                <w:i/>
                <w:iCs/>
              </w:rPr>
              <w:t>the</w:t>
            </w:r>
            <w:proofErr w:type="spellEnd"/>
            <w:r w:rsidRPr="008B0FC8">
              <w:rPr>
                <w:rFonts w:ascii="Arial" w:eastAsia="Arial" w:hAnsi="Arial" w:cs="Arial"/>
                <w:i/>
                <w:iCs/>
              </w:rPr>
              <w:t>-Loop</w:t>
            </w:r>
            <w:r w:rsidRPr="008B0FC8">
              <w:rPr>
                <w:rFonts w:ascii="Arial" w:eastAsia="Arial" w:hAnsi="Arial" w:cs="Arial"/>
              </w:rPr>
              <w:t>) como requisito para aprobar cada entrega.</w:t>
            </w:r>
          </w:p>
        </w:tc>
      </w:tr>
      <w:tr w:rsidR="00CC593F" w:rsidRPr="0082786A" w14:paraId="48225100" w14:textId="77777777" w:rsidTr="008B0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6DD5A7BA" w14:textId="67DD1A0D" w:rsidR="00CC593F" w:rsidRDefault="000E6BC2" w:rsidP="0033581F">
            <w:pPr>
              <w:spacing w:line="360" w:lineRule="auto"/>
              <w:rPr>
                <w:rFonts w:ascii="Arial" w:eastAsia="Arial" w:hAnsi="Arial" w:cs="Arial"/>
                <w:b w:val="0"/>
                <w:bCs w:val="0"/>
              </w:rPr>
            </w:pPr>
            <w:r>
              <w:rPr>
                <w:rFonts w:ascii="Arial" w:eastAsia="Arial" w:hAnsi="Arial" w:cs="Arial"/>
              </w:rPr>
              <w:lastRenderedPageBreak/>
              <w:t>Entorno</w:t>
            </w:r>
          </w:p>
          <w:p w14:paraId="38908108" w14:textId="77777777" w:rsidR="00CC593F" w:rsidRPr="0082786A" w:rsidRDefault="00CC593F" w:rsidP="0033581F">
            <w:pPr>
              <w:spacing w:line="360" w:lineRule="auto"/>
              <w:rPr>
                <w:rFonts w:ascii="Arial" w:eastAsia="Arial" w:hAnsi="Arial" w:cs="Arial"/>
              </w:rPr>
            </w:pPr>
          </w:p>
        </w:tc>
        <w:tc>
          <w:tcPr>
            <w:tcW w:w="3670" w:type="dxa"/>
            <w:hideMark/>
          </w:tcPr>
          <w:p w14:paraId="28817ABE" w14:textId="77777777" w:rsidR="00CC593F" w:rsidRDefault="00C46C6F" w:rsidP="0033581F">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730EC8">
              <w:rPr>
                <w:rFonts w:ascii="Arial" w:eastAsia="Arial" w:hAnsi="Arial" w:cs="Arial"/>
                <w:b/>
                <w:bCs/>
              </w:rPr>
              <w:t>Elicitación Inicial:</w:t>
            </w:r>
            <w:r>
              <w:rPr>
                <w:rFonts w:ascii="Arial" w:eastAsia="Arial" w:hAnsi="Arial" w:cs="Arial"/>
              </w:rPr>
              <w:t xml:space="preserve"> Tareas 1, 2, 3, 5, 6 y 16.</w:t>
            </w:r>
          </w:p>
          <w:p w14:paraId="5CA92E38" w14:textId="5F81DAB0" w:rsidR="00C46C6F" w:rsidRDefault="00C46C6F" w:rsidP="0033581F">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730EC8">
              <w:rPr>
                <w:rFonts w:ascii="Arial" w:eastAsia="Arial" w:hAnsi="Arial" w:cs="Arial"/>
                <w:b/>
                <w:bCs/>
              </w:rPr>
              <w:t>Demostraciones y Cierre:</w:t>
            </w:r>
            <w:r>
              <w:rPr>
                <w:rFonts w:ascii="Arial" w:eastAsia="Arial" w:hAnsi="Arial" w:cs="Arial"/>
              </w:rPr>
              <w:t xml:space="preserve"> Tarea</w:t>
            </w:r>
            <w:r w:rsidR="00B732D7">
              <w:rPr>
                <w:rFonts w:ascii="Arial" w:eastAsia="Arial" w:hAnsi="Arial" w:cs="Arial"/>
              </w:rPr>
              <w:t>s</w:t>
            </w:r>
            <w:r>
              <w:rPr>
                <w:rFonts w:ascii="Arial" w:eastAsia="Arial" w:hAnsi="Arial" w:cs="Arial"/>
              </w:rPr>
              <w:t xml:space="preserve"> 27,</w:t>
            </w:r>
            <w:r w:rsidR="00B732D7">
              <w:rPr>
                <w:rFonts w:ascii="Arial" w:eastAsia="Arial" w:hAnsi="Arial" w:cs="Arial"/>
              </w:rPr>
              <w:t xml:space="preserve"> 43, 53 y 59.</w:t>
            </w:r>
          </w:p>
          <w:p w14:paraId="1AB2F07E" w14:textId="0C9F8A1B" w:rsidR="00B732D7" w:rsidRPr="0082786A" w:rsidRDefault="00B732D7" w:rsidP="0033581F">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730EC8">
              <w:rPr>
                <w:rFonts w:ascii="Arial" w:eastAsia="Arial" w:hAnsi="Arial" w:cs="Arial"/>
                <w:b/>
                <w:bCs/>
              </w:rPr>
              <w:t>Aceptación Final:</w:t>
            </w:r>
            <w:r>
              <w:rPr>
                <w:rFonts w:ascii="Arial" w:eastAsia="Arial" w:hAnsi="Arial" w:cs="Arial"/>
              </w:rPr>
              <w:t xml:space="preserve"> Tareas 57 y 84.</w:t>
            </w:r>
          </w:p>
        </w:tc>
        <w:tc>
          <w:tcPr>
            <w:tcW w:w="3969" w:type="dxa"/>
            <w:hideMark/>
          </w:tcPr>
          <w:p w14:paraId="5DC0CA6B" w14:textId="761236AB" w:rsidR="00CC593F" w:rsidRPr="0082786A" w:rsidRDefault="008B0FC8" w:rsidP="0033581F">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B0FC8">
              <w:rPr>
                <w:rFonts w:ascii="Arial" w:eastAsia="Arial" w:hAnsi="Arial" w:cs="Arial"/>
              </w:rPr>
              <w:t xml:space="preserve">Analiza las presiones externas, la retroalimentación del cliente y el marco normativo del negocio. La IAGen apoya la síntesis de requerimientos tras las entrevistas, pero las restricciones operativas reales </w:t>
            </w:r>
            <w:r>
              <w:rPr>
                <w:rFonts w:ascii="Arial" w:eastAsia="Arial" w:hAnsi="Arial" w:cs="Arial"/>
              </w:rPr>
              <w:t xml:space="preserve">que </w:t>
            </w:r>
            <w:r w:rsidRPr="008B0FC8">
              <w:rPr>
                <w:rFonts w:ascii="Arial" w:eastAsia="Arial" w:hAnsi="Arial" w:cs="Arial"/>
              </w:rPr>
              <w:t>delimitan el alcance del software.</w:t>
            </w:r>
          </w:p>
        </w:tc>
      </w:tr>
    </w:tbl>
    <w:p w14:paraId="0CF0E255" w14:textId="77777777" w:rsidR="00513650" w:rsidRPr="00513650" w:rsidRDefault="00513650" w:rsidP="00513650">
      <w:pPr>
        <w:pBdr>
          <w:top w:val="nil"/>
          <w:left w:val="nil"/>
          <w:bottom w:val="nil"/>
          <w:right w:val="nil"/>
          <w:between w:val="nil"/>
        </w:pBdr>
        <w:spacing w:after="120"/>
        <w:ind w:left="720"/>
        <w:jc w:val="both"/>
      </w:pPr>
    </w:p>
    <w:p w14:paraId="55943C11" w14:textId="313CBA71" w:rsidR="00752469" w:rsidRPr="00752469" w:rsidRDefault="00000000" w:rsidP="00752469">
      <w:pPr>
        <w:numPr>
          <w:ilvl w:val="0"/>
          <w:numId w:val="2"/>
        </w:numPr>
        <w:pBdr>
          <w:top w:val="nil"/>
          <w:left w:val="nil"/>
          <w:bottom w:val="nil"/>
          <w:right w:val="nil"/>
          <w:between w:val="nil"/>
        </w:pBdr>
        <w:spacing w:after="120"/>
        <w:jc w:val="both"/>
      </w:pPr>
      <w:r w:rsidRPr="00513650">
        <w:rPr>
          <w:rFonts w:ascii="Arial" w:eastAsia="Arial" w:hAnsi="Arial" w:cs="Arial"/>
          <w:b/>
          <w:bCs/>
          <w:color w:val="000000"/>
          <w:sz w:val="22"/>
          <w:szCs w:val="22"/>
        </w:rPr>
        <w:t xml:space="preserve">Paso 2: </w:t>
      </w:r>
      <w:r w:rsidRPr="00513650">
        <w:rPr>
          <w:rFonts w:ascii="Arial" w:eastAsia="Arial" w:hAnsi="Arial" w:cs="Arial"/>
          <w:color w:val="000000"/>
          <w:sz w:val="22"/>
          <w:szCs w:val="22"/>
        </w:rPr>
        <w:t xml:space="preserve">mapear los flujos de información del sistema actual e identificar en qué puntos de control la IAGen actuará como cocreadora o </w:t>
      </w:r>
      <w:proofErr w:type="spellStart"/>
      <w:r w:rsidRPr="00513650">
        <w:rPr>
          <w:rFonts w:ascii="Arial" w:eastAsia="Arial" w:hAnsi="Arial" w:cs="Arial"/>
          <w:color w:val="000000"/>
          <w:sz w:val="22"/>
          <w:szCs w:val="22"/>
        </w:rPr>
        <w:t>automatizadora</w:t>
      </w:r>
      <w:proofErr w:type="spellEnd"/>
      <w:r w:rsidRPr="00513650">
        <w:rPr>
          <w:rFonts w:ascii="Arial" w:eastAsia="Arial" w:hAnsi="Arial" w:cs="Arial"/>
          <w:color w:val="000000"/>
          <w:sz w:val="22"/>
          <w:szCs w:val="22"/>
        </w:rPr>
        <w:t xml:space="preserve"> de tareas (Wessel et al., 2025).</w:t>
      </w:r>
    </w:p>
    <w:p w14:paraId="456DD711" w14:textId="02817DBA" w:rsidR="00752469" w:rsidRPr="00752469" w:rsidRDefault="00752469" w:rsidP="00752469">
      <w:pPr>
        <w:pBdr>
          <w:top w:val="nil"/>
          <w:left w:val="nil"/>
          <w:bottom w:val="nil"/>
          <w:right w:val="nil"/>
          <w:between w:val="nil"/>
        </w:pBdr>
        <w:spacing w:after="120"/>
        <w:ind w:left="720" w:firstLine="720"/>
        <w:jc w:val="both"/>
        <w:rPr>
          <w:rFonts w:ascii="Arial" w:eastAsia="Arial" w:hAnsi="Arial" w:cs="Arial"/>
          <w:b/>
          <w:bCs/>
          <w:i/>
          <w:iCs/>
          <w:color w:val="000000"/>
          <w:sz w:val="22"/>
          <w:szCs w:val="22"/>
        </w:rPr>
      </w:pPr>
      <w:r w:rsidRPr="00752469">
        <w:rPr>
          <w:rFonts w:ascii="Arial" w:eastAsia="Arial" w:hAnsi="Arial" w:cs="Arial"/>
          <w:b/>
          <w:bCs/>
          <w:i/>
          <w:iCs/>
          <w:color w:val="000000"/>
          <w:sz w:val="22"/>
          <w:szCs w:val="22"/>
        </w:rPr>
        <w:t>Elicitación y Requisitos</w:t>
      </w:r>
    </w:p>
    <w:p w14:paraId="463352D5" w14:textId="4B83E0FF" w:rsidR="00752469" w:rsidRPr="00752469" w:rsidRDefault="00752469" w:rsidP="00752469">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t xml:space="preserve">Flujo: Entrevistas con el cliente </w:t>
      </w:r>
      <m:oMath>
        <m:r>
          <w:rPr>
            <w:rFonts w:ascii="Cambria Math" w:eastAsia="Arial" w:hAnsi="Cambria Math" w:cs="Arial"/>
            <w:color w:val="000000"/>
            <w:sz w:val="22"/>
            <w:szCs w:val="22"/>
          </w:rPr>
          <m:t>→</m:t>
        </m:r>
      </m:oMath>
      <w:r w:rsidRPr="00752469">
        <w:rPr>
          <w:rFonts w:ascii="Arial" w:eastAsia="Arial" w:hAnsi="Arial" w:cs="Arial"/>
          <w:color w:val="000000"/>
          <w:sz w:val="22"/>
          <w:szCs w:val="22"/>
        </w:rPr>
        <w:t xml:space="preserve"> Historias de Usuario </w:t>
      </w:r>
      <m:oMath>
        <m:r>
          <w:rPr>
            <w:rFonts w:ascii="Cambria Math" w:eastAsia="Arial" w:hAnsi="Cambria Math" w:cs="Arial"/>
            <w:color w:val="000000"/>
            <w:sz w:val="22"/>
            <w:szCs w:val="22"/>
          </w:rPr>
          <m:t>→</m:t>
        </m:r>
      </m:oMath>
      <w:r w:rsidRPr="00752469">
        <w:rPr>
          <w:rFonts w:ascii="Arial" w:eastAsia="Arial" w:hAnsi="Arial" w:cs="Arial"/>
          <w:color w:val="000000"/>
          <w:sz w:val="22"/>
          <w:szCs w:val="22"/>
        </w:rPr>
        <w:t xml:space="preserve"> Backlog Scrum.</w:t>
      </w:r>
    </w:p>
    <w:p w14:paraId="5CD87C50" w14:textId="32BDEEB7" w:rsidR="00752469" w:rsidRPr="00752469" w:rsidRDefault="00752469" w:rsidP="00752469">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t>Rol IAGen: Cocreadora. Redacta criterios de aceptación y sugiere flujos de excepción técnicos.</w:t>
      </w:r>
    </w:p>
    <w:p w14:paraId="029AB22B" w14:textId="41F6133C" w:rsidR="00752469" w:rsidRDefault="00752469" w:rsidP="00752469">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t>Control (Human-in-</w:t>
      </w:r>
      <w:proofErr w:type="spellStart"/>
      <w:r w:rsidRPr="00752469">
        <w:rPr>
          <w:rFonts w:ascii="Arial" w:eastAsia="Arial" w:hAnsi="Arial" w:cs="Arial"/>
          <w:color w:val="000000"/>
          <w:sz w:val="22"/>
          <w:szCs w:val="22"/>
        </w:rPr>
        <w:t>the</w:t>
      </w:r>
      <w:proofErr w:type="spellEnd"/>
      <w:r w:rsidRPr="00752469">
        <w:rPr>
          <w:rFonts w:ascii="Arial" w:eastAsia="Arial" w:hAnsi="Arial" w:cs="Arial"/>
          <w:color w:val="000000"/>
          <w:sz w:val="22"/>
          <w:szCs w:val="22"/>
        </w:rPr>
        <w:t>-Loop): El analista valida que no se agreguen módulos excluidos (sin, login, sin conexión web, sin facturación SRI).</w:t>
      </w:r>
    </w:p>
    <w:p w14:paraId="38913A97" w14:textId="643310F0" w:rsidR="00752469" w:rsidRPr="00752469" w:rsidRDefault="00752469" w:rsidP="00752469">
      <w:pPr>
        <w:pBdr>
          <w:top w:val="nil"/>
          <w:left w:val="nil"/>
          <w:bottom w:val="nil"/>
          <w:right w:val="nil"/>
          <w:between w:val="nil"/>
        </w:pBdr>
        <w:spacing w:after="120"/>
        <w:ind w:left="720" w:firstLine="720"/>
        <w:jc w:val="both"/>
        <w:rPr>
          <w:rFonts w:ascii="Arial" w:eastAsia="Arial" w:hAnsi="Arial" w:cs="Arial"/>
          <w:b/>
          <w:bCs/>
          <w:i/>
          <w:iCs/>
          <w:color w:val="000000"/>
          <w:sz w:val="22"/>
          <w:szCs w:val="22"/>
        </w:rPr>
      </w:pPr>
      <w:r>
        <w:rPr>
          <w:rFonts w:ascii="Arial" w:eastAsia="Arial" w:hAnsi="Arial" w:cs="Arial"/>
          <w:b/>
          <w:bCs/>
          <w:i/>
          <w:iCs/>
          <w:color w:val="000000"/>
          <w:sz w:val="22"/>
          <w:szCs w:val="22"/>
        </w:rPr>
        <w:t>Inventario y Stock</w:t>
      </w:r>
    </w:p>
    <w:p w14:paraId="368177B7" w14:textId="5CBB16AC" w:rsidR="00752469" w:rsidRPr="00752469" w:rsidRDefault="00752469" w:rsidP="00752469">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t xml:space="preserve">Flujo: </w:t>
      </w:r>
      <w:r w:rsidR="00A01F15">
        <w:rPr>
          <w:rFonts w:ascii="Arial" w:eastAsia="Arial" w:hAnsi="Arial" w:cs="Arial"/>
          <w:color w:val="000000"/>
          <w:sz w:val="22"/>
          <w:szCs w:val="22"/>
        </w:rPr>
        <w:t>Ingreso del producto agrícola</w:t>
      </w:r>
      <w:r w:rsidRPr="00752469">
        <w:rPr>
          <w:rFonts w:ascii="Arial" w:eastAsia="Arial" w:hAnsi="Arial" w:cs="Arial"/>
          <w:color w:val="000000"/>
          <w:sz w:val="22"/>
          <w:szCs w:val="22"/>
        </w:rPr>
        <w:t xml:space="preserve"> </w:t>
      </w:r>
      <m:oMath>
        <m:r>
          <w:rPr>
            <w:rFonts w:ascii="Cambria Math" w:eastAsia="Arial" w:hAnsi="Cambria Math" w:cs="Arial"/>
            <w:color w:val="000000"/>
            <w:sz w:val="22"/>
            <w:szCs w:val="22"/>
          </w:rPr>
          <m:t>→</m:t>
        </m:r>
      </m:oMath>
      <w:r w:rsidRPr="00752469">
        <w:rPr>
          <w:rFonts w:ascii="Arial" w:eastAsia="Arial" w:hAnsi="Arial" w:cs="Arial"/>
          <w:color w:val="000000"/>
          <w:sz w:val="22"/>
          <w:szCs w:val="22"/>
        </w:rPr>
        <w:t xml:space="preserve"> </w:t>
      </w:r>
      <w:r w:rsidR="00A01F15">
        <w:rPr>
          <w:rFonts w:ascii="Arial" w:eastAsia="Arial" w:hAnsi="Arial" w:cs="Arial"/>
          <w:color w:val="000000"/>
          <w:sz w:val="22"/>
          <w:szCs w:val="22"/>
        </w:rPr>
        <w:t>Persistencia local en Excel</w:t>
      </w:r>
      <w:r w:rsidRPr="00752469">
        <w:rPr>
          <w:rFonts w:ascii="Arial" w:eastAsia="Arial" w:hAnsi="Arial" w:cs="Arial"/>
          <w:color w:val="000000"/>
          <w:sz w:val="22"/>
          <w:szCs w:val="22"/>
        </w:rPr>
        <w:t xml:space="preserve"> </w:t>
      </w:r>
      <m:oMath>
        <m:r>
          <w:rPr>
            <w:rFonts w:ascii="Cambria Math" w:eastAsia="Arial" w:hAnsi="Cambria Math" w:cs="Arial"/>
            <w:color w:val="000000"/>
            <w:sz w:val="22"/>
            <w:szCs w:val="22"/>
          </w:rPr>
          <m:t>→</m:t>
        </m:r>
      </m:oMath>
      <w:r w:rsidRPr="00752469">
        <w:rPr>
          <w:rFonts w:ascii="Arial" w:eastAsia="Arial" w:hAnsi="Arial" w:cs="Arial"/>
          <w:color w:val="000000"/>
          <w:sz w:val="22"/>
          <w:szCs w:val="22"/>
        </w:rPr>
        <w:t xml:space="preserve"> </w:t>
      </w:r>
      <w:r w:rsidR="00A01F15">
        <w:rPr>
          <w:rFonts w:ascii="Arial" w:eastAsia="Arial" w:hAnsi="Arial" w:cs="Arial"/>
          <w:color w:val="000000"/>
          <w:sz w:val="22"/>
          <w:szCs w:val="22"/>
        </w:rPr>
        <w:t>Alerta de stock mínimo</w:t>
      </w:r>
      <w:r w:rsidRPr="00752469">
        <w:rPr>
          <w:rFonts w:ascii="Arial" w:eastAsia="Arial" w:hAnsi="Arial" w:cs="Arial"/>
          <w:color w:val="000000"/>
          <w:sz w:val="22"/>
          <w:szCs w:val="22"/>
        </w:rPr>
        <w:t>.</w:t>
      </w:r>
    </w:p>
    <w:p w14:paraId="1FDA7E8D" w14:textId="5FD013E5" w:rsidR="00752469" w:rsidRPr="00752469" w:rsidRDefault="00752469" w:rsidP="00752469">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t xml:space="preserve">Rol IAGen: </w:t>
      </w:r>
      <w:proofErr w:type="spellStart"/>
      <w:r w:rsidR="00A01F15">
        <w:rPr>
          <w:rFonts w:ascii="Arial" w:eastAsia="Arial" w:hAnsi="Arial" w:cs="Arial"/>
          <w:color w:val="000000"/>
          <w:sz w:val="22"/>
          <w:szCs w:val="22"/>
        </w:rPr>
        <w:t>Automatizadora</w:t>
      </w:r>
      <w:proofErr w:type="spellEnd"/>
      <w:r w:rsidRPr="00752469">
        <w:rPr>
          <w:rFonts w:ascii="Arial" w:eastAsia="Arial" w:hAnsi="Arial" w:cs="Arial"/>
          <w:color w:val="000000"/>
          <w:sz w:val="22"/>
          <w:szCs w:val="22"/>
        </w:rPr>
        <w:t xml:space="preserve">. </w:t>
      </w:r>
      <w:r w:rsidR="00A01F15">
        <w:rPr>
          <w:rFonts w:ascii="Arial" w:eastAsia="Arial" w:hAnsi="Arial" w:cs="Arial"/>
          <w:color w:val="000000"/>
          <w:sz w:val="22"/>
          <w:szCs w:val="22"/>
        </w:rPr>
        <w:t>Normaliza catálogos y calcula proyecciones de quiebre de stock</w:t>
      </w:r>
      <w:r w:rsidRPr="00752469">
        <w:rPr>
          <w:rFonts w:ascii="Arial" w:eastAsia="Arial" w:hAnsi="Arial" w:cs="Arial"/>
          <w:color w:val="000000"/>
          <w:sz w:val="22"/>
          <w:szCs w:val="22"/>
        </w:rPr>
        <w:t>.</w:t>
      </w:r>
    </w:p>
    <w:p w14:paraId="1C359D40" w14:textId="06AC47E2" w:rsidR="00752469" w:rsidRDefault="00752469" w:rsidP="00752469">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t>Control (Human-in-</w:t>
      </w:r>
      <w:proofErr w:type="spellStart"/>
      <w:r w:rsidRPr="00752469">
        <w:rPr>
          <w:rFonts w:ascii="Arial" w:eastAsia="Arial" w:hAnsi="Arial" w:cs="Arial"/>
          <w:color w:val="000000"/>
          <w:sz w:val="22"/>
          <w:szCs w:val="22"/>
        </w:rPr>
        <w:t>the</w:t>
      </w:r>
      <w:proofErr w:type="spellEnd"/>
      <w:r w:rsidRPr="00752469">
        <w:rPr>
          <w:rFonts w:ascii="Arial" w:eastAsia="Arial" w:hAnsi="Arial" w:cs="Arial"/>
          <w:color w:val="000000"/>
          <w:sz w:val="22"/>
          <w:szCs w:val="22"/>
        </w:rPr>
        <w:t xml:space="preserve">-Loop): </w:t>
      </w:r>
      <w:r w:rsidR="00A01F15">
        <w:rPr>
          <w:rFonts w:ascii="Arial" w:eastAsia="Arial" w:hAnsi="Arial" w:cs="Arial"/>
          <w:color w:val="000000"/>
          <w:sz w:val="22"/>
          <w:szCs w:val="22"/>
        </w:rPr>
        <w:t>El administrador realiza inventario físico para contrastar las existencias reales con el archivo</w:t>
      </w:r>
      <w:r w:rsidRPr="00752469">
        <w:rPr>
          <w:rFonts w:ascii="Arial" w:eastAsia="Arial" w:hAnsi="Arial" w:cs="Arial"/>
          <w:color w:val="000000"/>
          <w:sz w:val="22"/>
          <w:szCs w:val="22"/>
        </w:rPr>
        <w:t>.</w:t>
      </w:r>
    </w:p>
    <w:p w14:paraId="01FE2802" w14:textId="16E43EBB" w:rsidR="00752469" w:rsidRPr="00752469" w:rsidRDefault="00A01F15" w:rsidP="00752469">
      <w:pPr>
        <w:pBdr>
          <w:top w:val="nil"/>
          <w:left w:val="nil"/>
          <w:bottom w:val="nil"/>
          <w:right w:val="nil"/>
          <w:between w:val="nil"/>
        </w:pBdr>
        <w:spacing w:after="120"/>
        <w:ind w:left="720" w:firstLine="720"/>
        <w:jc w:val="both"/>
        <w:rPr>
          <w:rFonts w:ascii="Arial" w:eastAsia="Arial" w:hAnsi="Arial" w:cs="Arial"/>
          <w:b/>
          <w:bCs/>
          <w:i/>
          <w:iCs/>
          <w:color w:val="000000"/>
          <w:sz w:val="22"/>
          <w:szCs w:val="22"/>
        </w:rPr>
      </w:pPr>
      <w:r>
        <w:rPr>
          <w:rFonts w:ascii="Arial" w:eastAsia="Arial" w:hAnsi="Arial" w:cs="Arial"/>
          <w:b/>
          <w:bCs/>
          <w:i/>
          <w:iCs/>
          <w:color w:val="000000"/>
          <w:sz w:val="22"/>
          <w:szCs w:val="22"/>
        </w:rPr>
        <w:t>Ventas y Comprobantes</w:t>
      </w:r>
    </w:p>
    <w:p w14:paraId="0E51770C" w14:textId="2B09C6C4" w:rsidR="00752469" w:rsidRPr="00752469" w:rsidRDefault="00752469" w:rsidP="00752469">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t xml:space="preserve">Flujo: </w:t>
      </w:r>
      <w:r w:rsidR="00A01F15">
        <w:rPr>
          <w:rFonts w:ascii="Arial" w:eastAsia="Arial" w:hAnsi="Arial" w:cs="Arial"/>
          <w:color w:val="000000"/>
          <w:sz w:val="22"/>
          <w:szCs w:val="22"/>
        </w:rPr>
        <w:t>Registro de pedido en mostrador</w:t>
      </w:r>
      <w:r w:rsidRPr="00752469">
        <w:rPr>
          <w:rFonts w:ascii="Arial" w:eastAsia="Arial" w:hAnsi="Arial" w:cs="Arial"/>
          <w:color w:val="000000"/>
          <w:sz w:val="22"/>
          <w:szCs w:val="22"/>
        </w:rPr>
        <w:t xml:space="preserve"> </w:t>
      </w:r>
      <m:oMath>
        <m:r>
          <w:rPr>
            <w:rFonts w:ascii="Cambria Math" w:eastAsia="Arial" w:hAnsi="Cambria Math" w:cs="Arial"/>
            <w:color w:val="000000"/>
            <w:sz w:val="22"/>
            <w:szCs w:val="22"/>
          </w:rPr>
          <m:t>→</m:t>
        </m:r>
      </m:oMath>
      <w:r w:rsidRPr="00752469">
        <w:rPr>
          <w:rFonts w:ascii="Arial" w:eastAsia="Arial" w:hAnsi="Arial" w:cs="Arial"/>
          <w:color w:val="000000"/>
          <w:sz w:val="22"/>
          <w:szCs w:val="22"/>
        </w:rPr>
        <w:t xml:space="preserve"> </w:t>
      </w:r>
      <w:r w:rsidR="00A01F15">
        <w:rPr>
          <w:rFonts w:ascii="Arial" w:eastAsia="Arial" w:hAnsi="Arial" w:cs="Arial"/>
          <w:color w:val="000000"/>
          <w:sz w:val="22"/>
          <w:szCs w:val="22"/>
        </w:rPr>
        <w:t>Descuento automático de stock</w:t>
      </w:r>
      <w:r w:rsidRPr="00752469">
        <w:rPr>
          <w:rFonts w:ascii="Arial" w:eastAsia="Arial" w:hAnsi="Arial" w:cs="Arial"/>
          <w:color w:val="000000"/>
          <w:sz w:val="22"/>
          <w:szCs w:val="22"/>
        </w:rPr>
        <w:t xml:space="preserve"> </w:t>
      </w:r>
      <m:oMath>
        <m:r>
          <w:rPr>
            <w:rFonts w:ascii="Cambria Math" w:eastAsia="Arial" w:hAnsi="Cambria Math" w:cs="Arial"/>
            <w:color w:val="000000"/>
            <w:sz w:val="22"/>
            <w:szCs w:val="22"/>
          </w:rPr>
          <m:t>→</m:t>
        </m:r>
      </m:oMath>
      <w:r w:rsidRPr="00752469">
        <w:rPr>
          <w:rFonts w:ascii="Arial" w:eastAsia="Arial" w:hAnsi="Arial" w:cs="Arial"/>
          <w:color w:val="000000"/>
          <w:sz w:val="22"/>
          <w:szCs w:val="22"/>
        </w:rPr>
        <w:t xml:space="preserve"> </w:t>
      </w:r>
      <w:r w:rsidR="00A01F15">
        <w:rPr>
          <w:rFonts w:ascii="Arial" w:eastAsia="Arial" w:hAnsi="Arial" w:cs="Arial"/>
          <w:color w:val="000000"/>
          <w:sz w:val="22"/>
          <w:szCs w:val="22"/>
        </w:rPr>
        <w:t>Emisión de nota en PDF</w:t>
      </w:r>
      <w:r w:rsidRPr="00752469">
        <w:rPr>
          <w:rFonts w:ascii="Arial" w:eastAsia="Arial" w:hAnsi="Arial" w:cs="Arial"/>
          <w:color w:val="000000"/>
          <w:sz w:val="22"/>
          <w:szCs w:val="22"/>
        </w:rPr>
        <w:t>.</w:t>
      </w:r>
    </w:p>
    <w:p w14:paraId="6650C22E" w14:textId="6542EF71" w:rsidR="00752469" w:rsidRPr="00752469" w:rsidRDefault="00752469" w:rsidP="00752469">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t>Rol IAGen: Cocreadora</w:t>
      </w:r>
      <w:r w:rsidR="00A01F15">
        <w:rPr>
          <w:rFonts w:ascii="Arial" w:eastAsia="Arial" w:hAnsi="Arial" w:cs="Arial"/>
          <w:color w:val="000000"/>
          <w:sz w:val="22"/>
          <w:szCs w:val="22"/>
        </w:rPr>
        <w:t>, realiza sugerencias dinámicas de venta cruzada según compras previas del cliente</w:t>
      </w:r>
      <w:r w:rsidRPr="00752469">
        <w:rPr>
          <w:rFonts w:ascii="Arial" w:eastAsia="Arial" w:hAnsi="Arial" w:cs="Arial"/>
          <w:color w:val="000000"/>
          <w:sz w:val="22"/>
          <w:szCs w:val="22"/>
        </w:rPr>
        <w:t>.</w:t>
      </w:r>
    </w:p>
    <w:p w14:paraId="43363FBE" w14:textId="0C43CBD5" w:rsidR="00752469" w:rsidRDefault="00752469" w:rsidP="00752469">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t>Control (Human-in-</w:t>
      </w:r>
      <w:proofErr w:type="spellStart"/>
      <w:r w:rsidRPr="00752469">
        <w:rPr>
          <w:rFonts w:ascii="Arial" w:eastAsia="Arial" w:hAnsi="Arial" w:cs="Arial"/>
          <w:color w:val="000000"/>
          <w:sz w:val="22"/>
          <w:szCs w:val="22"/>
        </w:rPr>
        <w:t>the</w:t>
      </w:r>
      <w:proofErr w:type="spellEnd"/>
      <w:r w:rsidRPr="00752469">
        <w:rPr>
          <w:rFonts w:ascii="Arial" w:eastAsia="Arial" w:hAnsi="Arial" w:cs="Arial"/>
          <w:color w:val="000000"/>
          <w:sz w:val="22"/>
          <w:szCs w:val="22"/>
        </w:rPr>
        <w:t xml:space="preserve">-Loop): </w:t>
      </w:r>
      <w:r w:rsidR="00A01F15">
        <w:rPr>
          <w:rFonts w:ascii="Arial" w:eastAsia="Arial" w:hAnsi="Arial" w:cs="Arial"/>
          <w:color w:val="000000"/>
          <w:sz w:val="22"/>
          <w:szCs w:val="22"/>
        </w:rPr>
        <w:t>El administrador confirma el pago en efectivo; el software prohíbe ventas si el stock está en cero</w:t>
      </w:r>
      <w:r w:rsidRPr="00752469">
        <w:rPr>
          <w:rFonts w:ascii="Arial" w:eastAsia="Arial" w:hAnsi="Arial" w:cs="Arial"/>
          <w:color w:val="000000"/>
          <w:sz w:val="22"/>
          <w:szCs w:val="22"/>
        </w:rPr>
        <w:t>.</w:t>
      </w:r>
    </w:p>
    <w:p w14:paraId="021C932B" w14:textId="729ECD27" w:rsidR="00A01F15" w:rsidRPr="00752469" w:rsidRDefault="00A01F15" w:rsidP="00A01F15">
      <w:pPr>
        <w:pBdr>
          <w:top w:val="nil"/>
          <w:left w:val="nil"/>
          <w:bottom w:val="nil"/>
          <w:right w:val="nil"/>
          <w:between w:val="nil"/>
        </w:pBdr>
        <w:spacing w:after="120"/>
        <w:ind w:left="720" w:firstLine="720"/>
        <w:jc w:val="both"/>
        <w:rPr>
          <w:rFonts w:ascii="Arial" w:eastAsia="Arial" w:hAnsi="Arial" w:cs="Arial"/>
          <w:b/>
          <w:bCs/>
          <w:i/>
          <w:iCs/>
          <w:color w:val="000000"/>
          <w:sz w:val="22"/>
          <w:szCs w:val="22"/>
        </w:rPr>
      </w:pPr>
      <w:r>
        <w:rPr>
          <w:rFonts w:ascii="Arial" w:eastAsia="Arial" w:hAnsi="Arial" w:cs="Arial"/>
          <w:b/>
          <w:bCs/>
          <w:i/>
          <w:iCs/>
          <w:color w:val="000000"/>
          <w:sz w:val="22"/>
          <w:szCs w:val="22"/>
        </w:rPr>
        <w:t>Reportería y Toma de decisiones</w:t>
      </w:r>
    </w:p>
    <w:p w14:paraId="1D4683C8" w14:textId="1521A3C0" w:rsidR="00A01F15" w:rsidRPr="00752469" w:rsidRDefault="00A01F15" w:rsidP="00A01F15">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t xml:space="preserve">Flujo: </w:t>
      </w:r>
      <w:r>
        <w:rPr>
          <w:rFonts w:ascii="Arial" w:eastAsia="Arial" w:hAnsi="Arial" w:cs="Arial"/>
          <w:color w:val="000000"/>
          <w:sz w:val="22"/>
          <w:szCs w:val="22"/>
        </w:rPr>
        <w:t>Histórico transaccional</w:t>
      </w:r>
      <w:r w:rsidRPr="00752469">
        <w:rPr>
          <w:rFonts w:ascii="Arial" w:eastAsia="Arial" w:hAnsi="Arial" w:cs="Arial"/>
          <w:color w:val="000000"/>
          <w:sz w:val="22"/>
          <w:szCs w:val="22"/>
        </w:rPr>
        <w:t xml:space="preserve"> </w:t>
      </w:r>
      <m:oMath>
        <m:r>
          <w:rPr>
            <w:rFonts w:ascii="Cambria Math" w:eastAsia="Arial" w:hAnsi="Cambria Math" w:cs="Arial"/>
            <w:color w:val="000000"/>
            <w:sz w:val="22"/>
            <w:szCs w:val="22"/>
          </w:rPr>
          <m:t>→</m:t>
        </m:r>
      </m:oMath>
      <w:r w:rsidRPr="00752469">
        <w:rPr>
          <w:rFonts w:ascii="Arial" w:eastAsia="Arial" w:hAnsi="Arial" w:cs="Arial"/>
          <w:color w:val="000000"/>
          <w:sz w:val="22"/>
          <w:szCs w:val="22"/>
        </w:rPr>
        <w:t xml:space="preserve"> </w:t>
      </w:r>
      <w:r>
        <w:rPr>
          <w:rFonts w:ascii="Arial" w:eastAsia="Arial" w:hAnsi="Arial" w:cs="Arial"/>
          <w:color w:val="000000"/>
          <w:sz w:val="22"/>
          <w:szCs w:val="22"/>
        </w:rPr>
        <w:t>Procesamiento con Apache POI</w:t>
      </w:r>
      <w:r w:rsidRPr="00752469">
        <w:rPr>
          <w:rFonts w:ascii="Arial" w:eastAsia="Arial" w:hAnsi="Arial" w:cs="Arial"/>
          <w:color w:val="000000"/>
          <w:sz w:val="22"/>
          <w:szCs w:val="22"/>
        </w:rPr>
        <w:t xml:space="preserve"> </w:t>
      </w:r>
      <m:oMath>
        <m:r>
          <w:rPr>
            <w:rFonts w:ascii="Cambria Math" w:eastAsia="Arial" w:hAnsi="Cambria Math" w:cs="Arial"/>
            <w:color w:val="000000"/>
            <w:sz w:val="22"/>
            <w:szCs w:val="22"/>
          </w:rPr>
          <m:t>→</m:t>
        </m:r>
      </m:oMath>
      <w:r w:rsidRPr="00752469">
        <w:rPr>
          <w:rFonts w:ascii="Arial" w:eastAsia="Arial" w:hAnsi="Arial" w:cs="Arial"/>
          <w:color w:val="000000"/>
          <w:sz w:val="22"/>
          <w:szCs w:val="22"/>
        </w:rPr>
        <w:t xml:space="preserve"> </w:t>
      </w:r>
      <w:r>
        <w:rPr>
          <w:rFonts w:ascii="Arial" w:eastAsia="Arial" w:hAnsi="Arial" w:cs="Arial"/>
          <w:color w:val="000000"/>
          <w:sz w:val="22"/>
          <w:szCs w:val="22"/>
        </w:rPr>
        <w:t>Reporte consolidado de Excel</w:t>
      </w:r>
      <w:r w:rsidRPr="00752469">
        <w:rPr>
          <w:rFonts w:ascii="Arial" w:eastAsia="Arial" w:hAnsi="Arial" w:cs="Arial"/>
          <w:color w:val="000000"/>
          <w:sz w:val="22"/>
          <w:szCs w:val="22"/>
        </w:rPr>
        <w:t>.</w:t>
      </w:r>
    </w:p>
    <w:p w14:paraId="353A5B1D" w14:textId="2E6FA21B" w:rsidR="00A01F15" w:rsidRPr="00752469" w:rsidRDefault="00A01F15" w:rsidP="00A01F15">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t xml:space="preserve">Rol IAGen: </w:t>
      </w:r>
      <w:proofErr w:type="spellStart"/>
      <w:r>
        <w:rPr>
          <w:rFonts w:ascii="Arial" w:eastAsia="Arial" w:hAnsi="Arial" w:cs="Arial"/>
          <w:color w:val="000000"/>
          <w:sz w:val="22"/>
          <w:szCs w:val="22"/>
        </w:rPr>
        <w:t>Automatizadora</w:t>
      </w:r>
      <w:proofErr w:type="spellEnd"/>
      <w:r>
        <w:rPr>
          <w:rFonts w:ascii="Arial" w:eastAsia="Arial" w:hAnsi="Arial" w:cs="Arial"/>
          <w:color w:val="000000"/>
          <w:sz w:val="22"/>
          <w:szCs w:val="22"/>
        </w:rPr>
        <w:t>, genera resúmenes ejecutivos y tablas dinámicas de los productos más vendidos</w:t>
      </w:r>
      <w:r w:rsidRPr="00752469">
        <w:rPr>
          <w:rFonts w:ascii="Arial" w:eastAsia="Arial" w:hAnsi="Arial" w:cs="Arial"/>
          <w:color w:val="000000"/>
          <w:sz w:val="22"/>
          <w:szCs w:val="22"/>
        </w:rPr>
        <w:t>.</w:t>
      </w:r>
    </w:p>
    <w:p w14:paraId="1AC62EA5" w14:textId="1B17242D" w:rsidR="00A01F15" w:rsidRDefault="00A01F15" w:rsidP="00A01F15">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r w:rsidRPr="00752469">
        <w:rPr>
          <w:rFonts w:ascii="Arial" w:eastAsia="Arial" w:hAnsi="Arial" w:cs="Arial"/>
          <w:color w:val="000000"/>
          <w:sz w:val="22"/>
          <w:szCs w:val="22"/>
        </w:rPr>
        <w:lastRenderedPageBreak/>
        <w:t>Control (Human-in-</w:t>
      </w:r>
      <w:proofErr w:type="spellStart"/>
      <w:r w:rsidRPr="00752469">
        <w:rPr>
          <w:rFonts w:ascii="Arial" w:eastAsia="Arial" w:hAnsi="Arial" w:cs="Arial"/>
          <w:color w:val="000000"/>
          <w:sz w:val="22"/>
          <w:szCs w:val="22"/>
        </w:rPr>
        <w:t>the</w:t>
      </w:r>
      <w:proofErr w:type="spellEnd"/>
      <w:r w:rsidRPr="00752469">
        <w:rPr>
          <w:rFonts w:ascii="Arial" w:eastAsia="Arial" w:hAnsi="Arial" w:cs="Arial"/>
          <w:color w:val="000000"/>
          <w:sz w:val="22"/>
          <w:szCs w:val="22"/>
        </w:rPr>
        <w:t xml:space="preserve">-Loop): </w:t>
      </w:r>
      <w:r>
        <w:rPr>
          <w:rFonts w:ascii="Arial" w:eastAsia="Arial" w:hAnsi="Arial" w:cs="Arial"/>
          <w:color w:val="000000"/>
          <w:sz w:val="22"/>
          <w:szCs w:val="22"/>
        </w:rPr>
        <w:t>El administrador coteja los totales del informe con el dinero físico en caja</w:t>
      </w:r>
      <w:r w:rsidRPr="00752469">
        <w:rPr>
          <w:rFonts w:ascii="Arial" w:eastAsia="Arial" w:hAnsi="Arial" w:cs="Arial"/>
          <w:color w:val="000000"/>
          <w:sz w:val="22"/>
          <w:szCs w:val="22"/>
        </w:rPr>
        <w:t>.</w:t>
      </w:r>
    </w:p>
    <w:p w14:paraId="39A82191" w14:textId="77777777" w:rsidR="00A01F15" w:rsidRDefault="00A01F15" w:rsidP="00752469">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p>
    <w:p w14:paraId="52F2681E" w14:textId="77777777" w:rsidR="00752469" w:rsidRPr="00752469" w:rsidRDefault="00752469" w:rsidP="00752469">
      <w:pPr>
        <w:pStyle w:val="Prrafodelista"/>
        <w:pBdr>
          <w:top w:val="nil"/>
          <w:left w:val="nil"/>
          <w:bottom w:val="nil"/>
          <w:right w:val="nil"/>
          <w:between w:val="nil"/>
        </w:pBdr>
        <w:spacing w:after="120"/>
        <w:ind w:left="1800"/>
        <w:jc w:val="both"/>
        <w:rPr>
          <w:rFonts w:ascii="Arial" w:eastAsia="Arial" w:hAnsi="Arial" w:cs="Arial"/>
          <w:color w:val="000000"/>
          <w:sz w:val="22"/>
          <w:szCs w:val="22"/>
        </w:rPr>
      </w:pPr>
    </w:p>
    <w:p w14:paraId="598D07BE" w14:textId="77777777" w:rsidR="00853DB5" w:rsidRPr="00FD0B58" w:rsidRDefault="00000000">
      <w:pPr>
        <w:numPr>
          <w:ilvl w:val="0"/>
          <w:numId w:val="2"/>
        </w:numPr>
        <w:pBdr>
          <w:top w:val="nil"/>
          <w:left w:val="nil"/>
          <w:bottom w:val="nil"/>
          <w:right w:val="nil"/>
          <w:between w:val="nil"/>
        </w:pBdr>
        <w:spacing w:after="120"/>
        <w:jc w:val="both"/>
      </w:pPr>
      <w:r w:rsidRPr="00513650">
        <w:rPr>
          <w:rFonts w:ascii="Arial" w:eastAsia="Arial" w:hAnsi="Arial" w:cs="Arial"/>
          <w:b/>
          <w:bCs/>
          <w:color w:val="000000"/>
          <w:sz w:val="22"/>
          <w:szCs w:val="22"/>
        </w:rPr>
        <w:t xml:space="preserve">Paso 3: </w:t>
      </w:r>
      <w:r w:rsidRPr="00513650">
        <w:rPr>
          <w:rFonts w:ascii="Arial" w:eastAsia="Arial" w:hAnsi="Arial" w:cs="Arial"/>
          <w:color w:val="000000"/>
          <w:sz w:val="22"/>
          <w:szCs w:val="22"/>
        </w:rPr>
        <w:t>analizar las brechas sociotécnicas del proceso e instituir mecanismos de supervisión para mitigar riesgos de privacidad, sesgos e inestabilidad del sistema (</w:t>
      </w:r>
      <w:proofErr w:type="spellStart"/>
      <w:r w:rsidRPr="00513650">
        <w:rPr>
          <w:rFonts w:ascii="Arial" w:eastAsia="Arial" w:hAnsi="Arial" w:cs="Arial"/>
          <w:color w:val="000000"/>
          <w:sz w:val="22"/>
          <w:szCs w:val="22"/>
        </w:rPr>
        <w:t>Jarzębowicz</w:t>
      </w:r>
      <w:proofErr w:type="spellEnd"/>
      <w:r w:rsidRPr="00513650">
        <w:rPr>
          <w:rFonts w:ascii="Arial" w:eastAsia="Arial" w:hAnsi="Arial" w:cs="Arial"/>
          <w:color w:val="000000"/>
          <w:sz w:val="22"/>
          <w:szCs w:val="22"/>
        </w:rPr>
        <w:t xml:space="preserve"> et al., 2025).</w:t>
      </w:r>
    </w:p>
    <w:tbl>
      <w:tblPr>
        <w:tblStyle w:val="Tablanormal2"/>
        <w:tblW w:w="9439" w:type="dxa"/>
        <w:tblInd w:w="626" w:type="dxa"/>
        <w:tblLook w:val="04A0" w:firstRow="1" w:lastRow="0" w:firstColumn="1" w:lastColumn="0" w:noHBand="0" w:noVBand="1"/>
      </w:tblPr>
      <w:tblGrid>
        <w:gridCol w:w="1800"/>
        <w:gridCol w:w="3670"/>
        <w:gridCol w:w="3969"/>
      </w:tblGrid>
      <w:tr w:rsidR="00FD0B58" w:rsidRPr="0082786A" w14:paraId="3C19CDD8" w14:textId="77777777" w:rsidTr="00C904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0BEE1A79" w14:textId="5F524A8C" w:rsidR="00FD0B58" w:rsidRPr="0082786A" w:rsidRDefault="003656AB" w:rsidP="00C904ED">
            <w:pPr>
              <w:spacing w:line="360" w:lineRule="auto"/>
              <w:jc w:val="center"/>
              <w:rPr>
                <w:rFonts w:ascii="Arial" w:eastAsia="Arial" w:hAnsi="Arial" w:cs="Arial"/>
                <w:b w:val="0"/>
                <w:bCs w:val="0"/>
              </w:rPr>
            </w:pPr>
            <w:r>
              <w:rPr>
                <w:rFonts w:ascii="Arial" w:eastAsia="Arial" w:hAnsi="Arial" w:cs="Arial"/>
              </w:rPr>
              <w:t>Categoría de Riesgo</w:t>
            </w:r>
          </w:p>
        </w:tc>
        <w:tc>
          <w:tcPr>
            <w:tcW w:w="3670" w:type="dxa"/>
            <w:hideMark/>
          </w:tcPr>
          <w:p w14:paraId="487A5286" w14:textId="7B4D3E1A" w:rsidR="00FD0B58" w:rsidRPr="0082786A" w:rsidRDefault="003656AB" w:rsidP="00C904ED">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Pr>
                <w:rFonts w:ascii="Arial" w:eastAsia="Arial" w:hAnsi="Arial" w:cs="Arial"/>
              </w:rPr>
              <w:t>Brecha Sociotécnica Identificada</w:t>
            </w:r>
          </w:p>
        </w:tc>
        <w:tc>
          <w:tcPr>
            <w:tcW w:w="3969" w:type="dxa"/>
            <w:hideMark/>
          </w:tcPr>
          <w:p w14:paraId="17BCABDC" w14:textId="256E7FF3" w:rsidR="00FD0B58" w:rsidRPr="0082786A" w:rsidRDefault="003656AB" w:rsidP="00C904ED">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Pr>
                <w:rFonts w:ascii="Arial" w:eastAsia="Arial" w:hAnsi="Arial" w:cs="Arial"/>
              </w:rPr>
              <w:t>Mecanismo de Supervisión</w:t>
            </w:r>
          </w:p>
        </w:tc>
      </w:tr>
      <w:tr w:rsidR="00FD0B58" w:rsidRPr="0082786A" w14:paraId="0B833351" w14:textId="77777777" w:rsidTr="00C9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44FAB6C7" w14:textId="584BC515" w:rsidR="00FD0B58" w:rsidRPr="0082786A" w:rsidRDefault="003656AB" w:rsidP="00C904ED">
            <w:pPr>
              <w:spacing w:line="360" w:lineRule="auto"/>
              <w:rPr>
                <w:rFonts w:ascii="Arial" w:eastAsia="Arial" w:hAnsi="Arial" w:cs="Arial"/>
              </w:rPr>
            </w:pPr>
            <w:r>
              <w:rPr>
                <w:rFonts w:ascii="Arial" w:eastAsia="Arial" w:hAnsi="Arial" w:cs="Arial"/>
              </w:rPr>
              <w:t>Privacidad y Soberanía de Datos</w:t>
            </w:r>
          </w:p>
        </w:tc>
        <w:tc>
          <w:tcPr>
            <w:tcW w:w="3670" w:type="dxa"/>
            <w:hideMark/>
          </w:tcPr>
          <w:p w14:paraId="527848F2" w14:textId="2851A254" w:rsidR="00FD0B58" w:rsidRPr="003656AB" w:rsidRDefault="003656AB" w:rsidP="00C904ED">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Fuga de datos sensibles de clientes</w:t>
            </w:r>
            <w:r w:rsidR="008675E6">
              <w:rPr>
                <w:rFonts w:ascii="Arial" w:eastAsia="Arial" w:hAnsi="Arial" w:cs="Arial"/>
              </w:rPr>
              <w:t xml:space="preserve"> (nombres, teléfonos, historial comercial) al enviar información del negocio hacia modelos LLM externos en la nube.</w:t>
            </w:r>
          </w:p>
        </w:tc>
        <w:tc>
          <w:tcPr>
            <w:tcW w:w="3969" w:type="dxa"/>
            <w:hideMark/>
          </w:tcPr>
          <w:p w14:paraId="6B934321" w14:textId="0ECF1384" w:rsidR="00FD0B58" w:rsidRPr="0082786A" w:rsidRDefault="00B30A3E" w:rsidP="00C904ED">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742F34">
              <w:rPr>
                <w:rFonts w:ascii="Arial" w:eastAsia="Arial" w:hAnsi="Arial" w:cs="Arial"/>
                <w:b/>
                <w:bCs/>
              </w:rPr>
              <w:t>Anonimización Previa y Modo Local:</w:t>
            </w:r>
            <w:r w:rsidRPr="00B30A3E">
              <w:rPr>
                <w:rFonts w:ascii="Arial" w:eastAsia="Arial" w:hAnsi="Arial" w:cs="Arial"/>
              </w:rPr>
              <w:t xml:space="preserve"> Prohibir el envío de identificadores personales en </w:t>
            </w:r>
            <w:proofErr w:type="spellStart"/>
            <w:r w:rsidRPr="00B30A3E">
              <w:rPr>
                <w:rFonts w:ascii="Arial" w:eastAsia="Arial" w:hAnsi="Arial" w:cs="Arial"/>
              </w:rPr>
              <w:t>prompts</w:t>
            </w:r>
            <w:proofErr w:type="spellEnd"/>
            <w:r w:rsidRPr="00B30A3E">
              <w:rPr>
                <w:rFonts w:ascii="Arial" w:eastAsia="Arial" w:hAnsi="Arial" w:cs="Arial"/>
              </w:rPr>
              <w:t>; usar datos sintéticos durante pruebas y restringir consultas de IA al entorno local sin conexión persistente.</w:t>
            </w:r>
          </w:p>
        </w:tc>
      </w:tr>
      <w:tr w:rsidR="00FD0B58" w:rsidRPr="0082786A" w14:paraId="1DFED009" w14:textId="77777777" w:rsidTr="00C904ED">
        <w:tc>
          <w:tcPr>
            <w:cnfStyle w:val="001000000000" w:firstRow="0" w:lastRow="0" w:firstColumn="1" w:lastColumn="0" w:oddVBand="0" w:evenVBand="0" w:oddHBand="0" w:evenHBand="0" w:firstRowFirstColumn="0" w:firstRowLastColumn="0" w:lastRowFirstColumn="0" w:lastRowLastColumn="0"/>
            <w:tcW w:w="1800" w:type="dxa"/>
            <w:hideMark/>
          </w:tcPr>
          <w:p w14:paraId="43545450" w14:textId="3478B85F" w:rsidR="00FD0B58" w:rsidRDefault="003656AB" w:rsidP="00C904ED">
            <w:pPr>
              <w:spacing w:line="360" w:lineRule="auto"/>
              <w:rPr>
                <w:rFonts w:ascii="Arial" w:eastAsia="Arial" w:hAnsi="Arial" w:cs="Arial"/>
                <w:b w:val="0"/>
                <w:bCs w:val="0"/>
              </w:rPr>
            </w:pPr>
            <w:r>
              <w:rPr>
                <w:rFonts w:ascii="Arial" w:eastAsia="Arial" w:hAnsi="Arial" w:cs="Arial"/>
              </w:rPr>
              <w:t>Sesgos y Alucinaciones</w:t>
            </w:r>
          </w:p>
          <w:p w14:paraId="15334925" w14:textId="77777777" w:rsidR="00FD0B58" w:rsidRPr="0082786A" w:rsidRDefault="00FD0B58" w:rsidP="00C904ED">
            <w:pPr>
              <w:spacing w:line="360" w:lineRule="auto"/>
              <w:rPr>
                <w:rFonts w:ascii="Arial" w:eastAsia="Arial" w:hAnsi="Arial" w:cs="Arial"/>
              </w:rPr>
            </w:pPr>
          </w:p>
        </w:tc>
        <w:tc>
          <w:tcPr>
            <w:tcW w:w="3670" w:type="dxa"/>
            <w:hideMark/>
          </w:tcPr>
          <w:p w14:paraId="11F13A0F" w14:textId="35969800" w:rsidR="00FD0B58" w:rsidRPr="008675E6" w:rsidRDefault="008675E6" w:rsidP="00C904ED">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Propuestas de la IA que violen las reglas del negocio (por ejemplo: registrar ventas con stock en cero, asumir facturación electrónica SRI o calcular impuestos incorrectos).</w:t>
            </w:r>
          </w:p>
        </w:tc>
        <w:tc>
          <w:tcPr>
            <w:tcW w:w="3969" w:type="dxa"/>
            <w:hideMark/>
          </w:tcPr>
          <w:p w14:paraId="6E4D13D5" w14:textId="2EB8A884" w:rsidR="00FD0B58" w:rsidRPr="0082786A" w:rsidRDefault="00B30A3E" w:rsidP="00C904ED">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742F34">
              <w:rPr>
                <w:rFonts w:ascii="Arial" w:eastAsia="Arial" w:hAnsi="Arial" w:cs="Arial"/>
                <w:b/>
                <w:bCs/>
              </w:rPr>
              <w:t>Validación Determinista en Código:</w:t>
            </w:r>
            <w:r w:rsidRPr="00B30A3E">
              <w:rPr>
                <w:rFonts w:ascii="Arial" w:eastAsia="Arial" w:hAnsi="Arial" w:cs="Arial"/>
              </w:rPr>
              <w:t xml:space="preserve"> Reglas de validación duras en Java 25 que rechacen cualquier parámetro ilógico sugerido por la IA antes de impactar el archivo Excel.</w:t>
            </w:r>
          </w:p>
        </w:tc>
      </w:tr>
      <w:tr w:rsidR="00FD0B58" w:rsidRPr="0082786A" w14:paraId="1D533766" w14:textId="77777777" w:rsidTr="00C9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537FB446" w14:textId="50B87008" w:rsidR="00FD0B58" w:rsidRDefault="003656AB" w:rsidP="00C904ED">
            <w:pPr>
              <w:spacing w:line="360" w:lineRule="auto"/>
              <w:rPr>
                <w:rFonts w:ascii="Arial" w:eastAsia="Arial" w:hAnsi="Arial" w:cs="Arial"/>
                <w:b w:val="0"/>
                <w:bCs w:val="0"/>
              </w:rPr>
            </w:pPr>
            <w:r>
              <w:rPr>
                <w:rFonts w:ascii="Arial" w:eastAsia="Arial" w:hAnsi="Arial" w:cs="Arial"/>
              </w:rPr>
              <w:t>Inestabilidad y Deriva del Modelo</w:t>
            </w:r>
          </w:p>
          <w:p w14:paraId="6533B473" w14:textId="77777777" w:rsidR="00FD0B58" w:rsidRPr="0082786A" w:rsidRDefault="00FD0B58" w:rsidP="00C904ED">
            <w:pPr>
              <w:spacing w:line="360" w:lineRule="auto"/>
              <w:rPr>
                <w:rFonts w:ascii="Arial" w:eastAsia="Arial" w:hAnsi="Arial" w:cs="Arial"/>
              </w:rPr>
            </w:pPr>
          </w:p>
        </w:tc>
        <w:tc>
          <w:tcPr>
            <w:tcW w:w="3670" w:type="dxa"/>
            <w:hideMark/>
          </w:tcPr>
          <w:p w14:paraId="243C4980" w14:textId="71C2842C" w:rsidR="00FD0B58" w:rsidRPr="008675E6" w:rsidRDefault="008675E6" w:rsidP="00C904ED">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 xml:space="preserve">Generación de respuestas variables o no estructuradas que rompan el formato esperado por librerías como Apache POI o generen código Java no </w:t>
            </w:r>
            <w:proofErr w:type="spellStart"/>
            <w:r>
              <w:rPr>
                <w:rFonts w:ascii="Arial" w:eastAsia="Arial" w:hAnsi="Arial" w:cs="Arial"/>
              </w:rPr>
              <w:t>compilable</w:t>
            </w:r>
            <w:proofErr w:type="spellEnd"/>
            <w:r>
              <w:rPr>
                <w:rFonts w:ascii="Arial" w:eastAsia="Arial" w:hAnsi="Arial" w:cs="Arial"/>
              </w:rPr>
              <w:t>.</w:t>
            </w:r>
          </w:p>
        </w:tc>
        <w:tc>
          <w:tcPr>
            <w:tcW w:w="3969" w:type="dxa"/>
            <w:hideMark/>
          </w:tcPr>
          <w:p w14:paraId="37DC6674" w14:textId="5040E32E" w:rsidR="00FD0B58" w:rsidRPr="0082786A" w:rsidRDefault="00B30A3E" w:rsidP="00C904ED">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742F34">
              <w:rPr>
                <w:rFonts w:ascii="Arial" w:eastAsia="Arial" w:hAnsi="Arial" w:cs="Arial"/>
                <w:b/>
                <w:bCs/>
              </w:rPr>
              <w:t xml:space="preserve">Ingeniería de </w:t>
            </w:r>
            <w:proofErr w:type="spellStart"/>
            <w:r w:rsidRPr="00742F34">
              <w:rPr>
                <w:rFonts w:ascii="Arial" w:eastAsia="Arial" w:hAnsi="Arial" w:cs="Arial"/>
                <w:b/>
                <w:bCs/>
              </w:rPr>
              <w:t>Prompts</w:t>
            </w:r>
            <w:proofErr w:type="spellEnd"/>
            <w:r w:rsidRPr="00742F34">
              <w:rPr>
                <w:rFonts w:ascii="Arial" w:eastAsia="Arial" w:hAnsi="Arial" w:cs="Arial"/>
                <w:b/>
                <w:bCs/>
              </w:rPr>
              <w:t xml:space="preserve"> con Salidas </w:t>
            </w:r>
            <w:proofErr w:type="spellStart"/>
            <w:r w:rsidRPr="00742F34">
              <w:rPr>
                <w:rFonts w:ascii="Arial" w:eastAsia="Arial" w:hAnsi="Arial" w:cs="Arial"/>
                <w:b/>
                <w:bCs/>
              </w:rPr>
              <w:t>Tipadas</w:t>
            </w:r>
            <w:proofErr w:type="spellEnd"/>
            <w:r w:rsidRPr="00742F34">
              <w:rPr>
                <w:rFonts w:ascii="Arial" w:eastAsia="Arial" w:hAnsi="Arial" w:cs="Arial"/>
                <w:b/>
                <w:bCs/>
              </w:rPr>
              <w:t>:</w:t>
            </w:r>
            <w:r w:rsidRPr="00B30A3E">
              <w:rPr>
                <w:rFonts w:ascii="Arial" w:eastAsia="Arial" w:hAnsi="Arial" w:cs="Arial"/>
              </w:rPr>
              <w:t xml:space="preserve"> Uso de </w:t>
            </w:r>
            <w:proofErr w:type="spellStart"/>
            <w:r w:rsidRPr="00B30A3E">
              <w:rPr>
                <w:rFonts w:ascii="Arial" w:eastAsia="Arial" w:hAnsi="Arial" w:cs="Arial"/>
              </w:rPr>
              <w:t>few-shot</w:t>
            </w:r>
            <w:proofErr w:type="spellEnd"/>
            <w:r w:rsidRPr="00B30A3E">
              <w:rPr>
                <w:rFonts w:ascii="Arial" w:eastAsia="Arial" w:hAnsi="Arial" w:cs="Arial"/>
              </w:rPr>
              <w:t xml:space="preserve"> </w:t>
            </w:r>
            <w:proofErr w:type="spellStart"/>
            <w:r w:rsidRPr="00B30A3E">
              <w:rPr>
                <w:rFonts w:ascii="Arial" w:eastAsia="Arial" w:hAnsi="Arial" w:cs="Arial"/>
              </w:rPr>
              <w:t>prompts</w:t>
            </w:r>
            <w:proofErr w:type="spellEnd"/>
            <w:r w:rsidRPr="00B30A3E">
              <w:rPr>
                <w:rFonts w:ascii="Arial" w:eastAsia="Arial" w:hAnsi="Arial" w:cs="Arial"/>
              </w:rPr>
              <w:t xml:space="preserve"> exigiendo formatos estrictos (JSON/CSV) y revisión técnica obligatoria por el desarrollador antes de integrar código o datos al repositorio.</w:t>
            </w:r>
          </w:p>
        </w:tc>
      </w:tr>
      <w:tr w:rsidR="003656AB" w:rsidRPr="0082786A" w14:paraId="3F78BDC2" w14:textId="77777777" w:rsidTr="00C904ED">
        <w:tc>
          <w:tcPr>
            <w:cnfStyle w:val="001000000000" w:firstRow="0" w:lastRow="0" w:firstColumn="1" w:lastColumn="0" w:oddVBand="0" w:evenVBand="0" w:oddHBand="0" w:evenHBand="0" w:firstRowFirstColumn="0" w:firstRowLastColumn="0" w:lastRowFirstColumn="0" w:lastRowLastColumn="0"/>
            <w:tcW w:w="1800" w:type="dxa"/>
          </w:tcPr>
          <w:p w14:paraId="50978157" w14:textId="4D54C990" w:rsidR="003656AB" w:rsidRDefault="003656AB" w:rsidP="00C904ED">
            <w:pPr>
              <w:spacing w:line="360" w:lineRule="auto"/>
              <w:rPr>
                <w:rFonts w:ascii="Arial" w:eastAsia="Arial" w:hAnsi="Arial" w:cs="Arial"/>
              </w:rPr>
            </w:pPr>
            <w:r>
              <w:rPr>
                <w:rFonts w:ascii="Arial" w:eastAsia="Arial" w:hAnsi="Arial" w:cs="Arial"/>
              </w:rPr>
              <w:t>Desalineación Organizacional</w:t>
            </w:r>
          </w:p>
        </w:tc>
        <w:tc>
          <w:tcPr>
            <w:tcW w:w="3670" w:type="dxa"/>
          </w:tcPr>
          <w:p w14:paraId="5F49C23E" w14:textId="3E144963" w:rsidR="003656AB" w:rsidRPr="008675E6" w:rsidRDefault="008675E6" w:rsidP="00C904ED">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675E6">
              <w:rPr>
                <w:rFonts w:ascii="Arial" w:eastAsia="Arial" w:hAnsi="Arial" w:cs="Arial"/>
              </w:rPr>
              <w:t>Uso</w:t>
            </w:r>
            <w:r>
              <w:rPr>
                <w:rFonts w:ascii="Arial" w:eastAsia="Arial" w:hAnsi="Arial" w:cs="Arial"/>
              </w:rPr>
              <w:t xml:space="preserve"> desordenado y no documentos de herramientas generativas por partes de los integrantes del equipo, provocando código inconsistente o pérdida de trazabilidad en Scrum.</w:t>
            </w:r>
          </w:p>
        </w:tc>
        <w:tc>
          <w:tcPr>
            <w:tcW w:w="3969" w:type="dxa"/>
          </w:tcPr>
          <w:p w14:paraId="2BADA3FC" w14:textId="3FD0F482" w:rsidR="003656AB" w:rsidRPr="008B0FC8" w:rsidRDefault="00742F34" w:rsidP="00C904ED">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742F34">
              <w:rPr>
                <w:rFonts w:ascii="Arial" w:eastAsia="Arial" w:hAnsi="Arial" w:cs="Arial"/>
                <w:b/>
                <w:bCs/>
              </w:rPr>
              <w:t xml:space="preserve">Gobernanza de Equipo y Bitácora de </w:t>
            </w:r>
            <w:proofErr w:type="spellStart"/>
            <w:r w:rsidRPr="00742F34">
              <w:rPr>
                <w:rFonts w:ascii="Arial" w:eastAsia="Arial" w:hAnsi="Arial" w:cs="Arial"/>
                <w:b/>
                <w:bCs/>
              </w:rPr>
              <w:t>Prompts</w:t>
            </w:r>
            <w:proofErr w:type="spellEnd"/>
            <w:r w:rsidRPr="00742F34">
              <w:rPr>
                <w:rFonts w:ascii="Arial" w:eastAsia="Arial" w:hAnsi="Arial" w:cs="Arial"/>
                <w:b/>
                <w:bCs/>
              </w:rPr>
              <w:t>:</w:t>
            </w:r>
            <w:r w:rsidRPr="00742F34">
              <w:rPr>
                <w:rFonts w:ascii="Arial" w:eastAsia="Arial" w:hAnsi="Arial" w:cs="Arial"/>
              </w:rPr>
              <w:t xml:space="preserve"> Registro obligatorio de </w:t>
            </w:r>
            <w:proofErr w:type="spellStart"/>
            <w:r w:rsidRPr="00742F34">
              <w:rPr>
                <w:rFonts w:ascii="Arial" w:eastAsia="Arial" w:hAnsi="Arial" w:cs="Arial"/>
              </w:rPr>
              <w:t>prompts</w:t>
            </w:r>
            <w:proofErr w:type="spellEnd"/>
            <w:r w:rsidRPr="00742F34">
              <w:rPr>
                <w:rFonts w:ascii="Arial" w:eastAsia="Arial" w:hAnsi="Arial" w:cs="Arial"/>
              </w:rPr>
              <w:t xml:space="preserve"> utilizados en las tarjetas de Jira/Kanban y revisión cruzada por pares (</w:t>
            </w:r>
            <w:proofErr w:type="spellStart"/>
            <w:r w:rsidRPr="00742F34">
              <w:rPr>
                <w:rFonts w:ascii="Arial" w:eastAsia="Arial" w:hAnsi="Arial" w:cs="Arial"/>
              </w:rPr>
              <w:t>code</w:t>
            </w:r>
            <w:proofErr w:type="spellEnd"/>
            <w:r w:rsidRPr="00742F34">
              <w:rPr>
                <w:rFonts w:ascii="Arial" w:eastAsia="Arial" w:hAnsi="Arial" w:cs="Arial"/>
              </w:rPr>
              <w:t xml:space="preserve"> </w:t>
            </w:r>
            <w:proofErr w:type="spellStart"/>
            <w:r w:rsidRPr="00742F34">
              <w:rPr>
                <w:rFonts w:ascii="Arial" w:eastAsia="Arial" w:hAnsi="Arial" w:cs="Arial"/>
              </w:rPr>
              <w:t>review</w:t>
            </w:r>
            <w:proofErr w:type="spellEnd"/>
            <w:r w:rsidRPr="00742F34">
              <w:rPr>
                <w:rFonts w:ascii="Arial" w:eastAsia="Arial" w:hAnsi="Arial" w:cs="Arial"/>
              </w:rPr>
              <w:t>) en cada cierre de Sprint.</w:t>
            </w:r>
          </w:p>
        </w:tc>
      </w:tr>
    </w:tbl>
    <w:p w14:paraId="49F9B6FE" w14:textId="77777777" w:rsidR="00FD0B58" w:rsidRPr="00513650" w:rsidRDefault="00FD0B58" w:rsidP="00FD0B58">
      <w:pPr>
        <w:pBdr>
          <w:top w:val="nil"/>
          <w:left w:val="nil"/>
          <w:bottom w:val="nil"/>
          <w:right w:val="nil"/>
          <w:between w:val="nil"/>
        </w:pBdr>
        <w:spacing w:after="120"/>
        <w:ind w:left="720"/>
        <w:jc w:val="both"/>
      </w:pPr>
    </w:p>
    <w:p w14:paraId="126EDD91" w14:textId="77777777" w:rsidR="00853DB5" w:rsidRDefault="00000000">
      <w:pPr>
        <w:spacing w:before="240" w:after="40"/>
      </w:pPr>
      <w:r>
        <w:rPr>
          <w:rFonts w:ascii="Arial" w:eastAsia="Arial" w:hAnsi="Arial" w:cs="Arial"/>
          <w:b/>
          <w:bCs/>
          <w:sz w:val="22"/>
          <w:szCs w:val="22"/>
        </w:rPr>
        <w:t>Figura 2.6</w:t>
      </w:r>
    </w:p>
    <w:p w14:paraId="4236B979" w14:textId="77777777" w:rsidR="00853DB5" w:rsidRDefault="00000000">
      <w:pPr>
        <w:spacing w:after="120"/>
      </w:pPr>
      <w:r>
        <w:rPr>
          <w:rFonts w:ascii="Arial" w:eastAsia="Arial" w:hAnsi="Arial" w:cs="Arial"/>
          <w:i/>
          <w:iCs/>
          <w:sz w:val="22"/>
          <w:szCs w:val="22"/>
        </w:rPr>
        <w:t>Flujo Metodológico de Diagnóstico Práctico y Síntesis del Caso Faro</w:t>
      </w:r>
    </w:p>
    <w:p w14:paraId="487640D5" w14:textId="77777777" w:rsidR="00853DB5" w:rsidRDefault="00000000">
      <w:pPr>
        <w:spacing w:after="100"/>
        <w:jc w:val="center"/>
      </w:pPr>
      <w:r>
        <w:rPr>
          <w:noProof/>
        </w:rPr>
        <w:lastRenderedPageBreak/>
        <w:drawing>
          <wp:inline distT="114300" distB="114300" distL="114300" distR="114300" wp14:anchorId="30A38F1B" wp14:editId="0DB5C924">
            <wp:extent cx="5943600" cy="4064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4064000"/>
                    </a:xfrm>
                    <a:prstGeom prst="rect">
                      <a:avLst/>
                    </a:prstGeom>
                    <a:ln/>
                  </pic:spPr>
                </pic:pic>
              </a:graphicData>
            </a:graphic>
          </wp:inline>
        </w:drawing>
      </w:r>
    </w:p>
    <w:p w14:paraId="7BA1F81A" w14:textId="77777777" w:rsidR="00853DB5" w:rsidRDefault="00000000">
      <w:pPr>
        <w:spacing w:after="280"/>
        <w:jc w:val="both"/>
      </w:pPr>
      <w:r>
        <w:rPr>
          <w:rFonts w:ascii="Arial" w:eastAsia="Arial" w:hAnsi="Arial" w:cs="Arial"/>
          <w:i/>
          <w:iCs/>
        </w:rPr>
        <w:t xml:space="preserve">Nota. </w:t>
      </w:r>
      <w:r>
        <w:rPr>
          <w:rFonts w:ascii="Arial" w:eastAsia="Arial" w:hAnsi="Arial" w:cs="Arial"/>
        </w:rPr>
        <w:t>Adaptado de Rother (2025), Tewari et al. (2026) y Wessel et al. (2025).</w:t>
      </w:r>
    </w:p>
    <w:p w14:paraId="0FB7FDA7" w14:textId="77777777" w:rsidR="00853DB5" w:rsidRDefault="00000000">
      <w:pPr>
        <w:pBdr>
          <w:left w:val="single" w:sz="12" w:space="8" w:color="2E5395"/>
        </w:pBdr>
        <w:shd w:val="clear" w:color="auto" w:fill="EEF2FA"/>
        <w:spacing w:before="80" w:after="240"/>
        <w:ind w:left="200" w:right="200"/>
        <w:jc w:val="both"/>
      </w:pPr>
      <w:r>
        <w:rPr>
          <w:rFonts w:ascii="Arial" w:eastAsia="Arial" w:hAnsi="Arial" w:cs="Arial"/>
          <w:b/>
          <w:bCs/>
          <w:i/>
          <w:iCs/>
          <w:sz w:val="22"/>
          <w:szCs w:val="22"/>
        </w:rPr>
        <w:t xml:space="preserve">Síntesis. </w:t>
      </w:r>
      <w:r>
        <w:rPr>
          <w:rFonts w:ascii="Arial" w:eastAsia="Arial" w:hAnsi="Arial" w:cs="Arial"/>
          <w:i/>
          <w:iCs/>
          <w:sz w:val="22"/>
          <w:szCs w:val="22"/>
        </w:rPr>
        <w:t>El capítulo cierra donde empezó: la pirámide de sistemas de información (TPS a sistemas expertos) reaparece en la Figura 2.6 como jerarquía de diagnóstico, confirmando que el reto de fondo no es tecnológico sino de gobernanza sociotécnica —cerrar la brecha entre lo que la IAGen ya puede hacer y lo que la organización está preparada para supervisar.</w:t>
      </w:r>
    </w:p>
    <w:p w14:paraId="208A9B0E" w14:textId="77777777" w:rsidR="00853DB5" w:rsidRDefault="00000000">
      <w:pPr>
        <w:pStyle w:val="Ttulo1"/>
        <w:spacing w:before="360" w:after="200"/>
      </w:pPr>
      <w:r>
        <w:rPr>
          <w:rFonts w:ascii="Arial" w:eastAsia="Arial" w:hAnsi="Arial" w:cs="Arial"/>
          <w:b/>
          <w:bCs/>
          <w:color w:val="1F3864"/>
          <w:sz w:val="30"/>
          <w:szCs w:val="30"/>
        </w:rPr>
        <w:t>Referencias</w:t>
      </w:r>
    </w:p>
    <w:p w14:paraId="006B2216" w14:textId="77777777" w:rsidR="00853DB5" w:rsidRDefault="00000000">
      <w:pPr>
        <w:spacing w:after="200" w:line="276" w:lineRule="auto"/>
        <w:ind w:left="720" w:hanging="720"/>
        <w:jc w:val="both"/>
      </w:pPr>
      <w:r>
        <w:rPr>
          <w:rFonts w:ascii="Arial" w:eastAsia="Arial" w:hAnsi="Arial" w:cs="Arial"/>
          <w:sz w:val="22"/>
          <w:szCs w:val="22"/>
        </w:rPr>
        <w:t xml:space="preserve">Haki, K., &amp; Safaei, D. (2024, 13–19 de junio). </w:t>
      </w:r>
      <w:r>
        <w:rPr>
          <w:rFonts w:ascii="Arial" w:eastAsia="Arial" w:hAnsi="Arial" w:cs="Arial"/>
          <w:i/>
          <w:iCs/>
          <w:sz w:val="22"/>
          <w:szCs w:val="22"/>
        </w:rPr>
        <w:t xml:space="preserve">Generative artificial </w:t>
      </w:r>
      <w:proofErr w:type="spellStart"/>
      <w:r>
        <w:rPr>
          <w:rFonts w:ascii="Arial" w:eastAsia="Arial" w:hAnsi="Arial" w:cs="Arial"/>
          <w:i/>
          <w:iCs/>
          <w:sz w:val="22"/>
          <w:szCs w:val="22"/>
        </w:rPr>
        <w:t>intelligence</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for</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enterprise</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platforms</w:t>
      </w:r>
      <w:proofErr w:type="spellEnd"/>
      <w:r>
        <w:rPr>
          <w:rFonts w:ascii="Arial" w:eastAsia="Arial" w:hAnsi="Arial" w:cs="Arial"/>
          <w:sz w:val="22"/>
          <w:szCs w:val="22"/>
        </w:rPr>
        <w:t xml:space="preserve">. 32nd </w:t>
      </w:r>
      <w:proofErr w:type="spellStart"/>
      <w:r>
        <w:rPr>
          <w:rFonts w:ascii="Arial" w:eastAsia="Arial" w:hAnsi="Arial" w:cs="Arial"/>
          <w:sz w:val="22"/>
          <w:szCs w:val="22"/>
        </w:rPr>
        <w:t>European</w:t>
      </w:r>
      <w:proofErr w:type="spellEnd"/>
      <w:r>
        <w:rPr>
          <w:rFonts w:ascii="Arial" w:eastAsia="Arial" w:hAnsi="Arial" w:cs="Arial"/>
          <w:sz w:val="22"/>
          <w:szCs w:val="22"/>
        </w:rPr>
        <w:t xml:space="preserve"> </w:t>
      </w:r>
      <w:proofErr w:type="spellStart"/>
      <w:r>
        <w:rPr>
          <w:rFonts w:ascii="Arial" w:eastAsia="Arial" w:hAnsi="Arial" w:cs="Arial"/>
          <w:sz w:val="22"/>
          <w:szCs w:val="22"/>
        </w:rPr>
        <w:t>Conference</w:t>
      </w:r>
      <w:proofErr w:type="spellEnd"/>
      <w:r>
        <w:rPr>
          <w:rFonts w:ascii="Arial" w:eastAsia="Arial" w:hAnsi="Arial" w:cs="Arial"/>
          <w:sz w:val="22"/>
          <w:szCs w:val="22"/>
        </w:rPr>
        <w:t xml:space="preserve"> </w:t>
      </w:r>
      <w:proofErr w:type="spellStart"/>
      <w:r>
        <w:rPr>
          <w:rFonts w:ascii="Arial" w:eastAsia="Arial" w:hAnsi="Arial" w:cs="Arial"/>
          <w:sz w:val="22"/>
          <w:szCs w:val="22"/>
        </w:rPr>
        <w:t>on</w:t>
      </w:r>
      <w:proofErr w:type="spellEnd"/>
      <w:r>
        <w:rPr>
          <w:rFonts w:ascii="Arial" w:eastAsia="Arial" w:hAnsi="Arial" w:cs="Arial"/>
          <w:sz w:val="22"/>
          <w:szCs w:val="22"/>
        </w:rPr>
        <w:t xml:space="preserve"> </w:t>
      </w:r>
      <w:proofErr w:type="spellStart"/>
      <w:r>
        <w:rPr>
          <w:rFonts w:ascii="Arial" w:eastAsia="Arial" w:hAnsi="Arial" w:cs="Arial"/>
          <w:sz w:val="22"/>
          <w:szCs w:val="22"/>
        </w:rPr>
        <w:t>Information</w:t>
      </w:r>
      <w:proofErr w:type="spellEnd"/>
      <w:r>
        <w:rPr>
          <w:rFonts w:ascii="Arial" w:eastAsia="Arial" w:hAnsi="Arial" w:cs="Arial"/>
          <w:sz w:val="22"/>
          <w:szCs w:val="22"/>
        </w:rPr>
        <w:t xml:space="preserve"> </w:t>
      </w:r>
      <w:proofErr w:type="spellStart"/>
      <w:r>
        <w:rPr>
          <w:rFonts w:ascii="Arial" w:eastAsia="Arial" w:hAnsi="Arial" w:cs="Arial"/>
          <w:sz w:val="22"/>
          <w:szCs w:val="22"/>
        </w:rPr>
        <w:t>Systems</w:t>
      </w:r>
      <w:proofErr w:type="spellEnd"/>
      <w:r>
        <w:rPr>
          <w:rFonts w:ascii="Arial" w:eastAsia="Arial" w:hAnsi="Arial" w:cs="Arial"/>
          <w:sz w:val="22"/>
          <w:szCs w:val="22"/>
        </w:rPr>
        <w:t xml:space="preserve"> (ECIS 2024), Pafos, Chipre.</w:t>
      </w:r>
    </w:p>
    <w:p w14:paraId="290749BC" w14:textId="77777777" w:rsidR="00853DB5" w:rsidRDefault="00000000">
      <w:pPr>
        <w:spacing w:after="200" w:line="276" w:lineRule="auto"/>
        <w:ind w:left="720" w:hanging="720"/>
        <w:jc w:val="both"/>
      </w:pPr>
      <w:r>
        <w:rPr>
          <w:rFonts w:ascii="Arial" w:eastAsia="Arial" w:hAnsi="Arial" w:cs="Arial"/>
          <w:sz w:val="22"/>
          <w:szCs w:val="22"/>
        </w:rPr>
        <w:t xml:space="preserve">Jarzębowicz, A., </w:t>
      </w:r>
      <w:proofErr w:type="spellStart"/>
      <w:r>
        <w:rPr>
          <w:rFonts w:ascii="Arial" w:eastAsia="Arial" w:hAnsi="Arial" w:cs="Arial"/>
          <w:sz w:val="22"/>
          <w:szCs w:val="22"/>
        </w:rPr>
        <w:t>Przybyłek</w:t>
      </w:r>
      <w:proofErr w:type="spellEnd"/>
      <w:r>
        <w:rPr>
          <w:rFonts w:ascii="Arial" w:eastAsia="Arial" w:hAnsi="Arial" w:cs="Arial"/>
          <w:sz w:val="22"/>
          <w:szCs w:val="22"/>
        </w:rPr>
        <w:t xml:space="preserve">, A., Estima, J., Ng, Y. Y., </w:t>
      </w:r>
      <w:proofErr w:type="spellStart"/>
      <w:r>
        <w:rPr>
          <w:rFonts w:ascii="Arial" w:eastAsia="Arial" w:hAnsi="Arial" w:cs="Arial"/>
          <w:sz w:val="22"/>
          <w:szCs w:val="22"/>
        </w:rPr>
        <w:t>Swacha</w:t>
      </w:r>
      <w:proofErr w:type="spellEnd"/>
      <w:r>
        <w:rPr>
          <w:rFonts w:ascii="Arial" w:eastAsia="Arial" w:hAnsi="Arial" w:cs="Arial"/>
          <w:sz w:val="22"/>
          <w:szCs w:val="22"/>
        </w:rPr>
        <w:t xml:space="preserve">, J., Zielosko, B., </w:t>
      </w:r>
      <w:proofErr w:type="spellStart"/>
      <w:r>
        <w:rPr>
          <w:rFonts w:ascii="Arial" w:eastAsia="Arial" w:hAnsi="Arial" w:cs="Arial"/>
          <w:sz w:val="22"/>
          <w:szCs w:val="22"/>
        </w:rPr>
        <w:t>Madeyski</w:t>
      </w:r>
      <w:proofErr w:type="spellEnd"/>
      <w:r>
        <w:rPr>
          <w:rFonts w:ascii="Arial" w:eastAsia="Arial" w:hAnsi="Arial" w:cs="Arial"/>
          <w:sz w:val="22"/>
          <w:szCs w:val="22"/>
        </w:rPr>
        <w:t xml:space="preserve">, L., Carroll, N., </w:t>
      </w:r>
      <w:proofErr w:type="spellStart"/>
      <w:r>
        <w:rPr>
          <w:rFonts w:ascii="Arial" w:eastAsia="Arial" w:hAnsi="Arial" w:cs="Arial"/>
          <w:sz w:val="22"/>
          <w:szCs w:val="22"/>
        </w:rPr>
        <w:t>Kemell</w:t>
      </w:r>
      <w:proofErr w:type="spellEnd"/>
      <w:r>
        <w:rPr>
          <w:rFonts w:ascii="Arial" w:eastAsia="Arial" w:hAnsi="Arial" w:cs="Arial"/>
          <w:sz w:val="22"/>
          <w:szCs w:val="22"/>
        </w:rPr>
        <w:t xml:space="preserve">, K.-K., Marcinkowski, B., </w:t>
      </w:r>
      <w:proofErr w:type="spellStart"/>
      <w:r>
        <w:rPr>
          <w:rFonts w:ascii="Arial" w:eastAsia="Arial" w:hAnsi="Arial" w:cs="Arial"/>
          <w:sz w:val="22"/>
          <w:szCs w:val="22"/>
        </w:rPr>
        <w:t>Rodrigues</w:t>
      </w:r>
      <w:proofErr w:type="spellEnd"/>
      <w:r>
        <w:rPr>
          <w:rFonts w:ascii="Arial" w:eastAsia="Arial" w:hAnsi="Arial" w:cs="Arial"/>
          <w:sz w:val="22"/>
          <w:szCs w:val="22"/>
        </w:rPr>
        <w:t xml:space="preserve"> da Silva, A., Stray, V., Iivari, N., Nguyen-Duc, A., </w:t>
      </w:r>
      <w:proofErr w:type="spellStart"/>
      <w:r>
        <w:rPr>
          <w:rFonts w:ascii="Arial" w:eastAsia="Arial" w:hAnsi="Arial" w:cs="Arial"/>
          <w:sz w:val="22"/>
          <w:szCs w:val="22"/>
        </w:rPr>
        <w:t>Melegati</w:t>
      </w:r>
      <w:proofErr w:type="spellEnd"/>
      <w:r>
        <w:rPr>
          <w:rFonts w:ascii="Arial" w:eastAsia="Arial" w:hAnsi="Arial" w:cs="Arial"/>
          <w:sz w:val="22"/>
          <w:szCs w:val="22"/>
        </w:rPr>
        <w:t xml:space="preserve">, J., Delibašić, B., &amp; </w:t>
      </w:r>
      <w:proofErr w:type="spellStart"/>
      <w:r>
        <w:rPr>
          <w:rFonts w:ascii="Arial" w:eastAsia="Arial" w:hAnsi="Arial" w:cs="Arial"/>
          <w:sz w:val="22"/>
          <w:szCs w:val="22"/>
        </w:rPr>
        <w:t>Insfran</w:t>
      </w:r>
      <w:proofErr w:type="spellEnd"/>
      <w:r>
        <w:rPr>
          <w:rFonts w:ascii="Arial" w:eastAsia="Arial" w:hAnsi="Arial" w:cs="Arial"/>
          <w:sz w:val="22"/>
          <w:szCs w:val="22"/>
        </w:rPr>
        <w:t xml:space="preserve">, E. (2025). </w:t>
      </w:r>
      <w:r>
        <w:rPr>
          <w:rFonts w:ascii="Arial" w:eastAsia="Arial" w:hAnsi="Arial" w:cs="Arial"/>
          <w:i/>
          <w:iCs/>
          <w:sz w:val="22"/>
          <w:szCs w:val="22"/>
        </w:rPr>
        <w:t xml:space="preserve">The </w:t>
      </w:r>
      <w:proofErr w:type="spellStart"/>
      <w:r>
        <w:rPr>
          <w:rFonts w:ascii="Arial" w:eastAsia="Arial" w:hAnsi="Arial" w:cs="Arial"/>
          <w:i/>
          <w:iCs/>
          <w:sz w:val="22"/>
          <w:szCs w:val="22"/>
        </w:rPr>
        <w:t>landscape</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of</w:t>
      </w:r>
      <w:proofErr w:type="spellEnd"/>
      <w:r>
        <w:rPr>
          <w:rFonts w:ascii="Arial" w:eastAsia="Arial" w:hAnsi="Arial" w:cs="Arial"/>
          <w:i/>
          <w:iCs/>
          <w:sz w:val="22"/>
          <w:szCs w:val="22"/>
        </w:rPr>
        <w:t xml:space="preserve"> generative AI in </w:t>
      </w:r>
      <w:proofErr w:type="spellStart"/>
      <w:r>
        <w:rPr>
          <w:rFonts w:ascii="Arial" w:eastAsia="Arial" w:hAnsi="Arial" w:cs="Arial"/>
          <w:i/>
          <w:iCs/>
          <w:sz w:val="22"/>
          <w:szCs w:val="22"/>
        </w:rPr>
        <w:t>information</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systems</w:t>
      </w:r>
      <w:proofErr w:type="spellEnd"/>
      <w:r>
        <w:rPr>
          <w:rFonts w:ascii="Arial" w:eastAsia="Arial" w:hAnsi="Arial" w:cs="Arial"/>
          <w:i/>
          <w:iCs/>
          <w:sz w:val="22"/>
          <w:szCs w:val="22"/>
        </w:rPr>
        <w:t xml:space="preserve">: A </w:t>
      </w:r>
      <w:proofErr w:type="spellStart"/>
      <w:r>
        <w:rPr>
          <w:rFonts w:ascii="Arial" w:eastAsia="Arial" w:hAnsi="Arial" w:cs="Arial"/>
          <w:i/>
          <w:iCs/>
          <w:sz w:val="22"/>
          <w:szCs w:val="22"/>
        </w:rPr>
        <w:t>synthesis</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of</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secondary</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reviews</w:t>
      </w:r>
      <w:proofErr w:type="spellEnd"/>
      <w:r>
        <w:rPr>
          <w:rFonts w:ascii="Arial" w:eastAsia="Arial" w:hAnsi="Arial" w:cs="Arial"/>
          <w:i/>
          <w:iCs/>
          <w:sz w:val="22"/>
          <w:szCs w:val="22"/>
        </w:rPr>
        <w:t xml:space="preserve"> and </w:t>
      </w:r>
      <w:proofErr w:type="spellStart"/>
      <w:r>
        <w:rPr>
          <w:rFonts w:ascii="Arial" w:eastAsia="Arial" w:hAnsi="Arial" w:cs="Arial"/>
          <w:i/>
          <w:iCs/>
          <w:sz w:val="22"/>
          <w:szCs w:val="22"/>
        </w:rPr>
        <w:t>research</w:t>
      </w:r>
      <w:proofErr w:type="spellEnd"/>
      <w:r>
        <w:rPr>
          <w:rFonts w:ascii="Arial" w:eastAsia="Arial" w:hAnsi="Arial" w:cs="Arial"/>
          <w:i/>
          <w:iCs/>
          <w:sz w:val="22"/>
          <w:szCs w:val="22"/>
        </w:rPr>
        <w:t xml:space="preserve"> agendas</w:t>
      </w:r>
      <w:r>
        <w:rPr>
          <w:rFonts w:ascii="Arial" w:eastAsia="Arial" w:hAnsi="Arial" w:cs="Arial"/>
          <w:sz w:val="22"/>
          <w:szCs w:val="22"/>
        </w:rPr>
        <w:t xml:space="preserve">. Departamento de Ingeniería de Software, Universidad Tecnológica de </w:t>
      </w:r>
      <w:proofErr w:type="spellStart"/>
      <w:r>
        <w:rPr>
          <w:rFonts w:ascii="Arial" w:eastAsia="Arial" w:hAnsi="Arial" w:cs="Arial"/>
          <w:sz w:val="22"/>
          <w:szCs w:val="22"/>
        </w:rPr>
        <w:t>Gdańsk</w:t>
      </w:r>
      <w:proofErr w:type="spellEnd"/>
      <w:r>
        <w:rPr>
          <w:rFonts w:ascii="Arial" w:eastAsia="Arial" w:hAnsi="Arial" w:cs="Arial"/>
          <w:sz w:val="22"/>
          <w:szCs w:val="22"/>
        </w:rPr>
        <w:t>.</w:t>
      </w:r>
    </w:p>
    <w:p w14:paraId="17A47D6E" w14:textId="77777777" w:rsidR="00853DB5" w:rsidRDefault="00000000">
      <w:pPr>
        <w:spacing w:after="200" w:line="276" w:lineRule="auto"/>
        <w:ind w:left="720" w:hanging="720"/>
        <w:jc w:val="both"/>
      </w:pPr>
      <w:r>
        <w:rPr>
          <w:rFonts w:ascii="Arial" w:eastAsia="Arial" w:hAnsi="Arial" w:cs="Arial"/>
          <w:sz w:val="22"/>
          <w:szCs w:val="22"/>
        </w:rPr>
        <w:t xml:space="preserve">Rother, B. (2025). </w:t>
      </w:r>
      <w:r>
        <w:rPr>
          <w:rFonts w:ascii="Arial" w:eastAsia="Arial" w:hAnsi="Arial" w:cs="Arial"/>
          <w:i/>
          <w:iCs/>
          <w:sz w:val="22"/>
          <w:szCs w:val="22"/>
        </w:rPr>
        <w:t xml:space="preserve">A </w:t>
      </w:r>
      <w:proofErr w:type="spellStart"/>
      <w:r>
        <w:rPr>
          <w:rFonts w:ascii="Arial" w:eastAsia="Arial" w:hAnsi="Arial" w:cs="Arial"/>
          <w:i/>
          <w:iCs/>
          <w:sz w:val="22"/>
          <w:szCs w:val="22"/>
        </w:rPr>
        <w:t>systematic</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literature</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review</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on</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implications</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of</w:t>
      </w:r>
      <w:proofErr w:type="spellEnd"/>
      <w:r>
        <w:rPr>
          <w:rFonts w:ascii="Arial" w:eastAsia="Arial" w:hAnsi="Arial" w:cs="Arial"/>
          <w:i/>
          <w:iCs/>
          <w:sz w:val="22"/>
          <w:szCs w:val="22"/>
        </w:rPr>
        <w:t xml:space="preserve"> generative AI </w:t>
      </w:r>
      <w:proofErr w:type="spellStart"/>
      <w:r>
        <w:rPr>
          <w:rFonts w:ascii="Arial" w:eastAsia="Arial" w:hAnsi="Arial" w:cs="Arial"/>
          <w:i/>
          <w:iCs/>
          <w:sz w:val="22"/>
          <w:szCs w:val="22"/>
        </w:rPr>
        <w:t>for</w:t>
      </w:r>
      <w:proofErr w:type="spellEnd"/>
      <w:r>
        <w:rPr>
          <w:rFonts w:ascii="Arial" w:eastAsia="Arial" w:hAnsi="Arial" w:cs="Arial"/>
          <w:i/>
          <w:iCs/>
          <w:sz w:val="22"/>
          <w:szCs w:val="22"/>
        </w:rPr>
        <w:t xml:space="preserve"> IT </w:t>
      </w:r>
      <w:proofErr w:type="spellStart"/>
      <w:r>
        <w:rPr>
          <w:rFonts w:ascii="Arial" w:eastAsia="Arial" w:hAnsi="Arial" w:cs="Arial"/>
          <w:i/>
          <w:iCs/>
          <w:sz w:val="22"/>
          <w:szCs w:val="22"/>
        </w:rPr>
        <w:t>management</w:t>
      </w:r>
      <w:proofErr w:type="spellEnd"/>
      <w:r>
        <w:rPr>
          <w:rFonts w:ascii="Arial" w:eastAsia="Arial" w:hAnsi="Arial" w:cs="Arial"/>
          <w:sz w:val="22"/>
          <w:szCs w:val="22"/>
        </w:rPr>
        <w:t>. FH Wedel, Alemania.</w:t>
      </w:r>
    </w:p>
    <w:p w14:paraId="1C6C928F" w14:textId="77777777" w:rsidR="00853DB5" w:rsidRDefault="00000000">
      <w:pPr>
        <w:spacing w:after="200" w:line="276" w:lineRule="auto"/>
        <w:ind w:left="720" w:hanging="720"/>
        <w:jc w:val="both"/>
      </w:pPr>
      <w:r>
        <w:rPr>
          <w:rFonts w:ascii="Arial" w:eastAsia="Arial" w:hAnsi="Arial" w:cs="Arial"/>
          <w:sz w:val="22"/>
          <w:szCs w:val="22"/>
        </w:rPr>
        <w:lastRenderedPageBreak/>
        <w:t xml:space="preserve">Tewari, V., Al Alawi, A. S., &amp; Morande, S. (2026). Generative artificial </w:t>
      </w:r>
      <w:proofErr w:type="spellStart"/>
      <w:r>
        <w:rPr>
          <w:rFonts w:ascii="Arial" w:eastAsia="Arial" w:hAnsi="Arial" w:cs="Arial"/>
          <w:sz w:val="22"/>
          <w:szCs w:val="22"/>
        </w:rPr>
        <w:t>intelligence</w:t>
      </w:r>
      <w:proofErr w:type="spellEnd"/>
      <w:r>
        <w:rPr>
          <w:rFonts w:ascii="Arial" w:eastAsia="Arial" w:hAnsi="Arial" w:cs="Arial"/>
          <w:sz w:val="22"/>
          <w:szCs w:val="22"/>
        </w:rPr>
        <w:t xml:space="preserve"> </w:t>
      </w:r>
      <w:proofErr w:type="spellStart"/>
      <w:r>
        <w:rPr>
          <w:rFonts w:ascii="Arial" w:eastAsia="Arial" w:hAnsi="Arial" w:cs="Arial"/>
          <w:sz w:val="22"/>
          <w:szCs w:val="22"/>
        </w:rPr>
        <w:t>adoption</w:t>
      </w:r>
      <w:proofErr w:type="spellEnd"/>
      <w:r>
        <w:rPr>
          <w:rFonts w:ascii="Arial" w:eastAsia="Arial" w:hAnsi="Arial" w:cs="Arial"/>
          <w:sz w:val="22"/>
          <w:szCs w:val="22"/>
        </w:rPr>
        <w:t xml:space="preserve"> in </w:t>
      </w:r>
      <w:proofErr w:type="spellStart"/>
      <w:r>
        <w:rPr>
          <w:rFonts w:ascii="Arial" w:eastAsia="Arial" w:hAnsi="Arial" w:cs="Arial"/>
          <w:sz w:val="22"/>
          <w:szCs w:val="22"/>
        </w:rPr>
        <w:t>emerging</w:t>
      </w:r>
      <w:proofErr w:type="spellEnd"/>
      <w:r>
        <w:rPr>
          <w:rFonts w:ascii="Arial" w:eastAsia="Arial" w:hAnsi="Arial" w:cs="Arial"/>
          <w:sz w:val="22"/>
          <w:szCs w:val="22"/>
        </w:rPr>
        <w:t xml:space="preserve"> </w:t>
      </w:r>
      <w:proofErr w:type="spellStart"/>
      <w:r>
        <w:rPr>
          <w:rFonts w:ascii="Arial" w:eastAsia="Arial" w:hAnsi="Arial" w:cs="Arial"/>
          <w:sz w:val="22"/>
          <w:szCs w:val="22"/>
        </w:rPr>
        <w:t>economies</w:t>
      </w:r>
      <w:proofErr w:type="spellEnd"/>
      <w:r>
        <w:rPr>
          <w:rFonts w:ascii="Arial" w:eastAsia="Arial" w:hAnsi="Arial" w:cs="Arial"/>
          <w:sz w:val="22"/>
          <w:szCs w:val="22"/>
        </w:rPr>
        <w:t xml:space="preserve">: A </w:t>
      </w:r>
      <w:proofErr w:type="spellStart"/>
      <w:r>
        <w:rPr>
          <w:rFonts w:ascii="Arial" w:eastAsia="Arial" w:hAnsi="Arial" w:cs="Arial"/>
          <w:sz w:val="22"/>
          <w:szCs w:val="22"/>
        </w:rPr>
        <w:t>technology-organization-environment</w:t>
      </w:r>
      <w:proofErr w:type="spellEnd"/>
      <w:r>
        <w:rPr>
          <w:rFonts w:ascii="Arial" w:eastAsia="Arial" w:hAnsi="Arial" w:cs="Arial"/>
          <w:sz w:val="22"/>
          <w:szCs w:val="22"/>
        </w:rPr>
        <w:t xml:space="preserve"> </w:t>
      </w:r>
      <w:proofErr w:type="spellStart"/>
      <w:r>
        <w:rPr>
          <w:rFonts w:ascii="Arial" w:eastAsia="Arial" w:hAnsi="Arial" w:cs="Arial"/>
          <w:sz w:val="22"/>
          <w:szCs w:val="22"/>
        </w:rPr>
        <w:t>framework</w:t>
      </w:r>
      <w:proofErr w:type="spellEnd"/>
      <w:r>
        <w:rPr>
          <w:rFonts w:ascii="Arial" w:eastAsia="Arial" w:hAnsi="Arial" w:cs="Arial"/>
          <w:sz w:val="22"/>
          <w:szCs w:val="22"/>
        </w:rPr>
        <w:t xml:space="preserve"> </w:t>
      </w:r>
      <w:proofErr w:type="spellStart"/>
      <w:r>
        <w:rPr>
          <w:rFonts w:ascii="Arial" w:eastAsia="Arial" w:hAnsi="Arial" w:cs="Arial"/>
          <w:sz w:val="22"/>
          <w:szCs w:val="22"/>
        </w:rPr>
        <w:t>analysis</w:t>
      </w:r>
      <w:proofErr w:type="spellEnd"/>
      <w:r>
        <w:rPr>
          <w:rFonts w:ascii="Arial" w:eastAsia="Arial" w:hAnsi="Arial" w:cs="Arial"/>
          <w:sz w:val="22"/>
          <w:szCs w:val="22"/>
        </w:rPr>
        <w:t xml:space="preserve"> </w:t>
      </w:r>
      <w:proofErr w:type="spellStart"/>
      <w:r>
        <w:rPr>
          <w:rFonts w:ascii="Arial" w:eastAsia="Arial" w:hAnsi="Arial" w:cs="Arial"/>
          <w:sz w:val="22"/>
          <w:szCs w:val="22"/>
        </w:rPr>
        <w:t>of</w:t>
      </w:r>
      <w:proofErr w:type="spellEnd"/>
      <w:r>
        <w:rPr>
          <w:rFonts w:ascii="Arial" w:eastAsia="Arial" w:hAnsi="Arial" w:cs="Arial"/>
          <w:sz w:val="22"/>
          <w:szCs w:val="22"/>
        </w:rPr>
        <w:t xml:space="preserve"> </w:t>
      </w:r>
      <w:proofErr w:type="spellStart"/>
      <w:r>
        <w:rPr>
          <w:rFonts w:ascii="Arial" w:eastAsia="Arial" w:hAnsi="Arial" w:cs="Arial"/>
          <w:sz w:val="22"/>
          <w:szCs w:val="22"/>
        </w:rPr>
        <w:t>large</w:t>
      </w:r>
      <w:proofErr w:type="spellEnd"/>
      <w:r>
        <w:rPr>
          <w:rFonts w:ascii="Arial" w:eastAsia="Arial" w:hAnsi="Arial" w:cs="Arial"/>
          <w:sz w:val="22"/>
          <w:szCs w:val="22"/>
        </w:rPr>
        <w:t xml:space="preserve"> </w:t>
      </w:r>
      <w:proofErr w:type="spellStart"/>
      <w:r>
        <w:rPr>
          <w:rFonts w:ascii="Arial" w:eastAsia="Arial" w:hAnsi="Arial" w:cs="Arial"/>
          <w:sz w:val="22"/>
          <w:szCs w:val="22"/>
        </w:rPr>
        <w:t>language</w:t>
      </w:r>
      <w:proofErr w:type="spellEnd"/>
      <w:r>
        <w:rPr>
          <w:rFonts w:ascii="Arial" w:eastAsia="Arial" w:hAnsi="Arial" w:cs="Arial"/>
          <w:sz w:val="22"/>
          <w:szCs w:val="22"/>
        </w:rPr>
        <w:t xml:space="preserve"> </w:t>
      </w:r>
      <w:proofErr w:type="spellStart"/>
      <w:r>
        <w:rPr>
          <w:rFonts w:ascii="Arial" w:eastAsia="Arial" w:hAnsi="Arial" w:cs="Arial"/>
          <w:sz w:val="22"/>
          <w:szCs w:val="22"/>
        </w:rPr>
        <w:t>model</w:t>
      </w:r>
      <w:proofErr w:type="spellEnd"/>
      <w:r>
        <w:rPr>
          <w:rFonts w:ascii="Arial" w:eastAsia="Arial" w:hAnsi="Arial" w:cs="Arial"/>
          <w:sz w:val="22"/>
          <w:szCs w:val="22"/>
        </w:rPr>
        <w:t xml:space="preserve"> </w:t>
      </w:r>
      <w:proofErr w:type="spellStart"/>
      <w:r>
        <w:rPr>
          <w:rFonts w:ascii="Arial" w:eastAsia="Arial" w:hAnsi="Arial" w:cs="Arial"/>
          <w:sz w:val="22"/>
          <w:szCs w:val="22"/>
        </w:rPr>
        <w:t>integration</w:t>
      </w:r>
      <w:proofErr w:type="spellEnd"/>
      <w:r>
        <w:rPr>
          <w:rFonts w:ascii="Arial" w:eastAsia="Arial" w:hAnsi="Arial" w:cs="Arial"/>
          <w:sz w:val="22"/>
          <w:szCs w:val="22"/>
        </w:rPr>
        <w:t xml:space="preserve"> in </w:t>
      </w:r>
      <w:proofErr w:type="spellStart"/>
      <w:r>
        <w:rPr>
          <w:rFonts w:ascii="Arial" w:eastAsia="Arial" w:hAnsi="Arial" w:cs="Arial"/>
          <w:sz w:val="22"/>
          <w:szCs w:val="22"/>
        </w:rPr>
        <w:t>small</w:t>
      </w:r>
      <w:proofErr w:type="spellEnd"/>
      <w:r>
        <w:rPr>
          <w:rFonts w:ascii="Arial" w:eastAsia="Arial" w:hAnsi="Arial" w:cs="Arial"/>
          <w:sz w:val="22"/>
          <w:szCs w:val="22"/>
        </w:rPr>
        <w:t xml:space="preserve"> and </w:t>
      </w:r>
      <w:proofErr w:type="spellStart"/>
      <w:r>
        <w:rPr>
          <w:rFonts w:ascii="Arial" w:eastAsia="Arial" w:hAnsi="Arial" w:cs="Arial"/>
          <w:sz w:val="22"/>
          <w:szCs w:val="22"/>
        </w:rPr>
        <w:t>medium</w:t>
      </w:r>
      <w:proofErr w:type="spellEnd"/>
      <w:r>
        <w:rPr>
          <w:rFonts w:ascii="Arial" w:eastAsia="Arial" w:hAnsi="Arial" w:cs="Arial"/>
          <w:sz w:val="22"/>
          <w:szCs w:val="22"/>
        </w:rPr>
        <w:t xml:space="preserve"> </w:t>
      </w:r>
      <w:proofErr w:type="spellStart"/>
      <w:r>
        <w:rPr>
          <w:rFonts w:ascii="Arial" w:eastAsia="Arial" w:hAnsi="Arial" w:cs="Arial"/>
          <w:sz w:val="22"/>
          <w:szCs w:val="22"/>
        </w:rPr>
        <w:t>enterprises</w:t>
      </w:r>
      <w:proofErr w:type="spellEnd"/>
      <w:r>
        <w:rPr>
          <w:rFonts w:ascii="Arial" w:eastAsia="Arial" w:hAnsi="Arial" w:cs="Arial"/>
          <w:sz w:val="22"/>
          <w:szCs w:val="22"/>
        </w:rPr>
        <w:t xml:space="preserve">. </w:t>
      </w:r>
      <w:r>
        <w:rPr>
          <w:rFonts w:ascii="Arial" w:eastAsia="Arial" w:hAnsi="Arial" w:cs="Arial"/>
          <w:i/>
          <w:iCs/>
          <w:sz w:val="22"/>
          <w:szCs w:val="22"/>
        </w:rPr>
        <w:t xml:space="preserve">International </w:t>
      </w:r>
      <w:proofErr w:type="spellStart"/>
      <w:r>
        <w:rPr>
          <w:rFonts w:ascii="Arial" w:eastAsia="Arial" w:hAnsi="Arial" w:cs="Arial"/>
          <w:i/>
          <w:iCs/>
          <w:sz w:val="22"/>
          <w:szCs w:val="22"/>
        </w:rPr>
        <w:t>Journal</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of</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Research</w:t>
      </w:r>
      <w:proofErr w:type="spellEnd"/>
      <w:r>
        <w:rPr>
          <w:rFonts w:ascii="Arial" w:eastAsia="Arial" w:hAnsi="Arial" w:cs="Arial"/>
          <w:i/>
          <w:iCs/>
          <w:sz w:val="22"/>
          <w:szCs w:val="22"/>
        </w:rPr>
        <w:t xml:space="preserve"> and </w:t>
      </w:r>
      <w:proofErr w:type="spellStart"/>
      <w:r>
        <w:rPr>
          <w:rFonts w:ascii="Arial" w:eastAsia="Arial" w:hAnsi="Arial" w:cs="Arial"/>
          <w:i/>
          <w:iCs/>
          <w:sz w:val="22"/>
          <w:szCs w:val="22"/>
        </w:rPr>
        <w:t>Innovation</w:t>
      </w:r>
      <w:proofErr w:type="spellEnd"/>
      <w:r>
        <w:rPr>
          <w:rFonts w:ascii="Arial" w:eastAsia="Arial" w:hAnsi="Arial" w:cs="Arial"/>
          <w:i/>
          <w:iCs/>
          <w:sz w:val="22"/>
          <w:szCs w:val="22"/>
        </w:rPr>
        <w:t xml:space="preserve"> in Social </w:t>
      </w:r>
      <w:proofErr w:type="spellStart"/>
      <w:r>
        <w:rPr>
          <w:rFonts w:ascii="Arial" w:eastAsia="Arial" w:hAnsi="Arial" w:cs="Arial"/>
          <w:i/>
          <w:iCs/>
          <w:sz w:val="22"/>
          <w:szCs w:val="22"/>
        </w:rPr>
        <w:t>Science</w:t>
      </w:r>
      <w:proofErr w:type="spellEnd"/>
      <w:r>
        <w:rPr>
          <w:rFonts w:ascii="Arial" w:eastAsia="Arial" w:hAnsi="Arial" w:cs="Arial"/>
          <w:sz w:val="22"/>
          <w:szCs w:val="22"/>
        </w:rPr>
        <w:t xml:space="preserve">, </w:t>
      </w:r>
      <w:r>
        <w:rPr>
          <w:rFonts w:ascii="Arial" w:eastAsia="Arial" w:hAnsi="Arial" w:cs="Arial"/>
          <w:i/>
          <w:iCs/>
          <w:sz w:val="22"/>
          <w:szCs w:val="22"/>
        </w:rPr>
        <w:t>10</w:t>
      </w:r>
      <w:r>
        <w:rPr>
          <w:rFonts w:ascii="Arial" w:eastAsia="Arial" w:hAnsi="Arial" w:cs="Arial"/>
          <w:sz w:val="22"/>
          <w:szCs w:val="22"/>
        </w:rPr>
        <w:t>(19), 516–528. https://doi.org/10.47772/IJRISS.2026.10190045</w:t>
      </w:r>
    </w:p>
    <w:p w14:paraId="0C3F2C84" w14:textId="77777777" w:rsidR="00853DB5" w:rsidRDefault="00000000">
      <w:pPr>
        <w:spacing w:after="200" w:line="276" w:lineRule="auto"/>
        <w:ind w:left="720" w:hanging="720"/>
        <w:jc w:val="both"/>
      </w:pPr>
      <w:r>
        <w:rPr>
          <w:rFonts w:ascii="Arial" w:eastAsia="Arial" w:hAnsi="Arial" w:cs="Arial"/>
          <w:sz w:val="22"/>
          <w:szCs w:val="22"/>
        </w:rPr>
        <w:t xml:space="preserve">Wessel, M., Adam, M., </w:t>
      </w:r>
      <w:proofErr w:type="spellStart"/>
      <w:r>
        <w:rPr>
          <w:rFonts w:ascii="Arial" w:eastAsia="Arial" w:hAnsi="Arial" w:cs="Arial"/>
          <w:sz w:val="22"/>
          <w:szCs w:val="22"/>
        </w:rPr>
        <w:t>Benlian</w:t>
      </w:r>
      <w:proofErr w:type="spellEnd"/>
      <w:r>
        <w:rPr>
          <w:rFonts w:ascii="Arial" w:eastAsia="Arial" w:hAnsi="Arial" w:cs="Arial"/>
          <w:sz w:val="22"/>
          <w:szCs w:val="22"/>
        </w:rPr>
        <w:t xml:space="preserve">, A., Majchrzak, A., &amp; Thies, F. (2025). Generative AI and </w:t>
      </w:r>
      <w:proofErr w:type="spellStart"/>
      <w:r>
        <w:rPr>
          <w:rFonts w:ascii="Arial" w:eastAsia="Arial" w:hAnsi="Arial" w:cs="Arial"/>
          <w:sz w:val="22"/>
          <w:szCs w:val="22"/>
        </w:rPr>
        <w:t>its</w:t>
      </w:r>
      <w:proofErr w:type="spellEnd"/>
      <w:r>
        <w:rPr>
          <w:rFonts w:ascii="Arial" w:eastAsia="Arial" w:hAnsi="Arial" w:cs="Arial"/>
          <w:sz w:val="22"/>
          <w:szCs w:val="22"/>
        </w:rPr>
        <w:t xml:space="preserve"> transformative </w:t>
      </w:r>
      <w:proofErr w:type="spellStart"/>
      <w:r>
        <w:rPr>
          <w:rFonts w:ascii="Arial" w:eastAsia="Arial" w:hAnsi="Arial" w:cs="Arial"/>
          <w:sz w:val="22"/>
          <w:szCs w:val="22"/>
        </w:rPr>
        <w:t>value</w:t>
      </w:r>
      <w:proofErr w:type="spellEnd"/>
      <w:r>
        <w:rPr>
          <w:rFonts w:ascii="Arial" w:eastAsia="Arial" w:hAnsi="Arial" w:cs="Arial"/>
          <w:sz w:val="22"/>
          <w:szCs w:val="22"/>
        </w:rPr>
        <w:t xml:space="preserve"> </w:t>
      </w:r>
      <w:proofErr w:type="spellStart"/>
      <w:r>
        <w:rPr>
          <w:rFonts w:ascii="Arial" w:eastAsia="Arial" w:hAnsi="Arial" w:cs="Arial"/>
          <w:sz w:val="22"/>
          <w:szCs w:val="22"/>
        </w:rPr>
        <w:t>for</w:t>
      </w:r>
      <w:proofErr w:type="spellEnd"/>
      <w:r>
        <w:rPr>
          <w:rFonts w:ascii="Arial" w:eastAsia="Arial" w:hAnsi="Arial" w:cs="Arial"/>
          <w:sz w:val="22"/>
          <w:szCs w:val="22"/>
        </w:rPr>
        <w:t xml:space="preserve"> digital </w:t>
      </w:r>
      <w:proofErr w:type="spellStart"/>
      <w:r>
        <w:rPr>
          <w:rFonts w:ascii="Arial" w:eastAsia="Arial" w:hAnsi="Arial" w:cs="Arial"/>
          <w:sz w:val="22"/>
          <w:szCs w:val="22"/>
        </w:rPr>
        <w:t>platforms</w:t>
      </w:r>
      <w:proofErr w:type="spellEnd"/>
      <w:r>
        <w:rPr>
          <w:rFonts w:ascii="Arial" w:eastAsia="Arial" w:hAnsi="Arial" w:cs="Arial"/>
          <w:sz w:val="22"/>
          <w:szCs w:val="22"/>
        </w:rPr>
        <w:t xml:space="preserve">. </w:t>
      </w:r>
      <w:proofErr w:type="spellStart"/>
      <w:r>
        <w:rPr>
          <w:rFonts w:ascii="Arial" w:eastAsia="Arial" w:hAnsi="Arial" w:cs="Arial"/>
          <w:i/>
          <w:iCs/>
          <w:sz w:val="22"/>
          <w:szCs w:val="22"/>
        </w:rPr>
        <w:t>Journal</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of</w:t>
      </w:r>
      <w:proofErr w:type="spellEnd"/>
      <w:r>
        <w:rPr>
          <w:rFonts w:ascii="Arial" w:eastAsia="Arial" w:hAnsi="Arial" w:cs="Arial"/>
          <w:i/>
          <w:iCs/>
          <w:sz w:val="22"/>
          <w:szCs w:val="22"/>
        </w:rPr>
        <w:t xml:space="preserve"> Management </w:t>
      </w:r>
      <w:proofErr w:type="spellStart"/>
      <w:r>
        <w:rPr>
          <w:rFonts w:ascii="Arial" w:eastAsia="Arial" w:hAnsi="Arial" w:cs="Arial"/>
          <w:i/>
          <w:iCs/>
          <w:sz w:val="22"/>
          <w:szCs w:val="22"/>
        </w:rPr>
        <w:t>Information</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Systems</w:t>
      </w:r>
      <w:proofErr w:type="spellEnd"/>
      <w:r>
        <w:rPr>
          <w:rFonts w:ascii="Arial" w:eastAsia="Arial" w:hAnsi="Arial" w:cs="Arial"/>
          <w:sz w:val="22"/>
          <w:szCs w:val="22"/>
        </w:rPr>
        <w:t xml:space="preserve">, </w:t>
      </w:r>
      <w:r>
        <w:rPr>
          <w:rFonts w:ascii="Arial" w:eastAsia="Arial" w:hAnsi="Arial" w:cs="Arial"/>
          <w:i/>
          <w:iCs/>
          <w:sz w:val="22"/>
          <w:szCs w:val="22"/>
        </w:rPr>
        <w:t>42</w:t>
      </w:r>
      <w:r>
        <w:rPr>
          <w:rFonts w:ascii="Arial" w:eastAsia="Arial" w:hAnsi="Arial" w:cs="Arial"/>
          <w:sz w:val="22"/>
          <w:szCs w:val="22"/>
        </w:rPr>
        <w:t>(2), 346–369. https://doi.org/10.1080/07421222.2025.2487315</w:t>
      </w:r>
    </w:p>
    <w:sectPr w:rsidR="00853DB5">
      <w:headerReference w:type="default" r:id="rId13"/>
      <w:footerReference w:type="default" r:id="rId1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C3920" w14:textId="77777777" w:rsidR="006F15BE" w:rsidRDefault="006F15BE">
      <w:r>
        <w:separator/>
      </w:r>
    </w:p>
  </w:endnote>
  <w:endnote w:type="continuationSeparator" w:id="0">
    <w:p w14:paraId="2A454A6B" w14:textId="77777777" w:rsidR="006F15BE" w:rsidRDefault="006F1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22C4CDB-572D-4202-AADD-245F911655BC}"/>
  </w:font>
  <w:font w:name="Calibri">
    <w:panose1 w:val="020F0502020204030204"/>
    <w:charset w:val="00"/>
    <w:family w:val="swiss"/>
    <w:pitch w:val="variable"/>
    <w:sig w:usb0="E4002EFF" w:usb1="C200247B" w:usb2="00000009" w:usb3="00000000" w:csb0="000001FF" w:csb1="00000000"/>
    <w:embedRegular r:id="rId2" w:fontKey="{54DBD24D-BAE5-433B-852C-C1D3FAE45E6D}"/>
    <w:embedBold r:id="rId3" w:fontKey="{58284AA9-9B42-49E7-B366-E505A7E057F8}"/>
  </w:font>
  <w:font w:name="Cambria Math">
    <w:panose1 w:val="02040503050406030204"/>
    <w:charset w:val="00"/>
    <w:family w:val="roman"/>
    <w:pitch w:val="variable"/>
    <w:sig w:usb0="E00006FF" w:usb1="420024FF" w:usb2="02000000" w:usb3="00000000" w:csb0="0000019F" w:csb1="00000000"/>
    <w:embedItalic r:id="rId4" w:fontKey="{80D37913-A304-4A59-92A4-567D84FBFD3F}"/>
  </w:font>
  <w:font w:name="Cambria">
    <w:panose1 w:val="02040503050406030204"/>
    <w:charset w:val="00"/>
    <w:family w:val="roman"/>
    <w:pitch w:val="variable"/>
    <w:sig w:usb0="E00006FF" w:usb1="420024FF" w:usb2="02000000" w:usb3="00000000" w:csb0="0000019F" w:csb1="00000000"/>
    <w:embedRegular r:id="rId5" w:fontKey="{01154305-AF55-469D-8DE9-EEA1D4FB89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C724" w14:textId="77777777" w:rsidR="00853DB5" w:rsidRDefault="00000000">
    <w:pPr>
      <w:jc w:val="cente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6E08A5">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DC875" w14:textId="77777777" w:rsidR="006F15BE" w:rsidRDefault="006F15BE">
      <w:r>
        <w:separator/>
      </w:r>
    </w:p>
  </w:footnote>
  <w:footnote w:type="continuationSeparator" w:id="0">
    <w:p w14:paraId="67BFF490" w14:textId="77777777" w:rsidR="006F15BE" w:rsidRDefault="006F1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610F" w14:textId="77777777" w:rsidR="00853DB5" w:rsidRDefault="00000000">
    <w:r>
      <w:rPr>
        <w:rFonts w:ascii="Arial" w:eastAsia="Arial" w:hAnsi="Arial" w:cs="Arial"/>
        <w:color w:val="595959"/>
        <w:sz w:val="18"/>
        <w:szCs w:val="18"/>
      </w:rPr>
      <w:t>Proyecto Ingeniería de Software basada en IAGen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C69"/>
    <w:multiLevelType w:val="hybridMultilevel"/>
    <w:tmpl w:val="93B6316A"/>
    <w:lvl w:ilvl="0" w:tplc="D004CF2E">
      <w:start w:val="1"/>
      <w:numFmt w:val="decimal"/>
      <w:lvlText w:val="%1."/>
      <w:lvlJc w:val="left"/>
      <w:pPr>
        <w:ind w:left="1800" w:hanging="360"/>
      </w:pPr>
      <w:rPr>
        <w:rFonts w:ascii="Arial" w:eastAsia="Arial" w:hAnsi="Arial" w:cs="Arial" w:hint="default"/>
        <w:b/>
        <w:color w:val="000000"/>
        <w:sz w:val="22"/>
      </w:r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abstractNum w:abstractNumId="1" w15:restartNumberingAfterBreak="0">
    <w:nsid w:val="2AFB0767"/>
    <w:multiLevelType w:val="multilevel"/>
    <w:tmpl w:val="520C1B50"/>
    <w:lvl w:ilvl="0">
      <w:start w:val="1"/>
      <w:numFmt w:val="decimal"/>
      <w:lvlText w:val="%1."/>
      <w:lvlJc w:val="left"/>
      <w:pPr>
        <w:ind w:left="72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F6247FB"/>
    <w:multiLevelType w:val="multilevel"/>
    <w:tmpl w:val="32C86E6E"/>
    <w:lvl w:ilvl="0">
      <w:start w:val="1"/>
      <w:numFmt w:val="bullet"/>
      <w:lvlText w:val="•"/>
      <w:lvlJc w:val="left"/>
      <w:pPr>
        <w:ind w:left="72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84866675">
    <w:abstractNumId w:val="1"/>
  </w:num>
  <w:num w:numId="2" w16cid:durableId="440149496">
    <w:abstractNumId w:val="2"/>
  </w:num>
  <w:num w:numId="3" w16cid:durableId="862090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DB5"/>
    <w:rsid w:val="00017774"/>
    <w:rsid w:val="00062E17"/>
    <w:rsid w:val="000846CD"/>
    <w:rsid w:val="000E6BC2"/>
    <w:rsid w:val="002534C6"/>
    <w:rsid w:val="00316BCB"/>
    <w:rsid w:val="00326FD6"/>
    <w:rsid w:val="003656AB"/>
    <w:rsid w:val="003C2A33"/>
    <w:rsid w:val="00513650"/>
    <w:rsid w:val="006E08A5"/>
    <w:rsid w:val="006F15BE"/>
    <w:rsid w:val="00730EC8"/>
    <w:rsid w:val="00742F34"/>
    <w:rsid w:val="00752469"/>
    <w:rsid w:val="00853DB5"/>
    <w:rsid w:val="008675E6"/>
    <w:rsid w:val="008B0FC8"/>
    <w:rsid w:val="009615A7"/>
    <w:rsid w:val="00A01F15"/>
    <w:rsid w:val="00B30A3E"/>
    <w:rsid w:val="00B732D7"/>
    <w:rsid w:val="00C46C6F"/>
    <w:rsid w:val="00CC22AC"/>
    <w:rsid w:val="00CC4305"/>
    <w:rsid w:val="00CC593F"/>
    <w:rsid w:val="00E41360"/>
    <w:rsid w:val="00F23D30"/>
    <w:rsid w:val="00FD0B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1066D"/>
  <w15:docId w15:val="{BE5FD264-BA74-4A9B-B1F6-A5834C68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B58"/>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anormal2">
    <w:name w:val="Plain Table 2"/>
    <w:basedOn w:val="Tablanormal"/>
    <w:uiPriority w:val="42"/>
    <w:rsid w:val="00CC593F"/>
    <w:rPr>
      <w:rFonts w:ascii="Calibri" w:eastAsia="Calibri" w:hAnsi="Calibri" w:cs="Calibr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7524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12</Pages>
  <Words>2949</Words>
  <Characters>16222</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Esteban</dc:creator>
  <cp:lastModifiedBy>Esteban Cuichan</cp:lastModifiedBy>
  <cp:revision>4</cp:revision>
  <dcterms:created xsi:type="dcterms:W3CDTF">2026-09-09T22:24:00Z</dcterms:created>
  <dcterms:modified xsi:type="dcterms:W3CDTF">2026-09-11T19:40:00Z</dcterms:modified>
</cp:coreProperties>
</file>