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ED8B" w14:textId="77777777" w:rsidR="00E05114" w:rsidRDefault="00E05114">
      <w:pPr>
        <w:spacing w:before="2200"/>
      </w:pPr>
    </w:p>
    <w:p w14:paraId="1C9DA65F" w14:textId="77777777" w:rsidR="00E05114" w:rsidRDefault="00000000">
      <w:pPr>
        <w:jc w:val="center"/>
      </w:pPr>
      <w:r>
        <w:rPr>
          <w:rFonts w:ascii="Georgia" w:eastAsia="Georgia" w:hAnsi="Georgia" w:cs="Georgia"/>
          <w:b/>
          <w:bCs/>
          <w:color w:val="3A4A2E"/>
          <w:sz w:val="72"/>
          <w:szCs w:val="72"/>
        </w:rPr>
        <w:t>ARTÍSTICA</w:t>
      </w:r>
    </w:p>
    <w:p w14:paraId="670438D1" w14:textId="77777777" w:rsidR="00E05114" w:rsidRDefault="00000000">
      <w:pPr>
        <w:spacing w:before="160" w:after="100"/>
        <w:jc w:val="center"/>
      </w:pPr>
      <w:r>
        <w:rPr>
          <w:rFonts w:ascii="Georgia" w:eastAsia="Georgia" w:hAnsi="Georgia" w:cs="Georgia"/>
          <w:i/>
          <w:iCs/>
          <w:color w:val="C1592B"/>
          <w:sz w:val="24"/>
          <w:szCs w:val="24"/>
        </w:rPr>
        <w:t>Donde el trabajo se muestra, se conversa y se encarga.</w:t>
      </w:r>
    </w:p>
    <w:p w14:paraId="28048D82" w14:textId="77777777" w:rsidR="00E05114" w:rsidRDefault="00000000">
      <w:pPr>
        <w:spacing w:before="700"/>
        <w:jc w:val="center"/>
      </w:pPr>
      <w:r>
        <w:rPr>
          <w:rFonts w:ascii="Calibri" w:eastAsia="Calibri" w:hAnsi="Calibri" w:cs="Calibri"/>
          <w:color w:val="2B2B26"/>
          <w:sz w:val="26"/>
          <w:szCs w:val="26"/>
        </w:rPr>
        <w:t>Propuesta técnica y de diseño</w:t>
      </w:r>
    </w:p>
    <w:p w14:paraId="51B57710" w14:textId="77777777" w:rsidR="00E05114" w:rsidRDefault="00000000">
      <w:pPr>
        <w:spacing w:before="2400"/>
        <w:jc w:val="center"/>
      </w:pPr>
      <w:r>
        <w:rPr>
          <w:rFonts w:ascii="Calibri" w:eastAsia="Calibri" w:hAnsi="Calibri" w:cs="Calibri"/>
          <w:color w:val="6B6B6B"/>
        </w:rPr>
        <w:t>EIF409 — Red social para artistas</w:t>
      </w:r>
    </w:p>
    <w:p w14:paraId="39A57B8D" w14:textId="77777777" w:rsidR="00E05114" w:rsidRDefault="00000000">
      <w:pPr>
        <w:spacing w:before="200"/>
        <w:jc w:val="center"/>
      </w:pPr>
      <w:r>
        <w:rPr>
          <w:rFonts w:ascii="Calibri" w:eastAsia="Calibri" w:hAnsi="Calibri" w:cs="Calibri"/>
          <w:color w:val="6B6B6B"/>
        </w:rPr>
        <w:t>Universidad Nacional de Costa Rica</w:t>
      </w:r>
    </w:p>
    <w:p w14:paraId="1C81A8CA" w14:textId="77777777" w:rsidR="00E05114" w:rsidRDefault="00000000">
      <w:pPr>
        <w:spacing w:before="700"/>
        <w:jc w:val="center"/>
      </w:pPr>
      <w:r>
        <w:rPr>
          <w:rFonts w:ascii="Calibri" w:eastAsia="Calibri" w:hAnsi="Calibri" w:cs="Calibri"/>
          <w:b/>
          <w:bCs/>
          <w:color w:val="3A4A2E"/>
          <w:sz w:val="22"/>
          <w:szCs w:val="22"/>
        </w:rPr>
        <w:t xml:space="preserve">Brian José Zeledón </w:t>
      </w:r>
      <w:proofErr w:type="gramStart"/>
      <w:r>
        <w:rPr>
          <w:rFonts w:ascii="Calibri" w:eastAsia="Calibri" w:hAnsi="Calibri" w:cs="Calibri"/>
          <w:b/>
          <w:bCs/>
          <w:color w:val="3A4A2E"/>
          <w:sz w:val="22"/>
          <w:szCs w:val="22"/>
        </w:rPr>
        <w:t>Esquivel  ·</w:t>
      </w:r>
      <w:proofErr w:type="gramEnd"/>
      <w:r>
        <w:rPr>
          <w:rFonts w:ascii="Calibri" w:eastAsia="Calibri" w:hAnsi="Calibri" w:cs="Calibri"/>
          <w:b/>
          <w:bCs/>
          <w:color w:val="3A4A2E"/>
          <w:sz w:val="22"/>
          <w:szCs w:val="22"/>
        </w:rPr>
        <w:t xml:space="preserve">  Esteban Granados Sibaja</w:t>
      </w:r>
    </w:p>
    <w:p w14:paraId="35351BAF" w14:textId="77777777" w:rsidR="00E05114" w:rsidRDefault="00000000">
      <w:r>
        <w:br w:type="page"/>
      </w:r>
    </w:p>
    <w:p w14:paraId="5173DB4B" w14:textId="77777777" w:rsidR="00E05114" w:rsidRDefault="00000000">
      <w:pPr>
        <w:pBdr>
          <w:bottom w:val="single" w:sz="6" w:space="4" w:color="C1592B"/>
        </w:pBdr>
        <w:spacing w:before="400" w:after="200"/>
      </w:pPr>
      <w:r>
        <w:rPr>
          <w:rFonts w:ascii="Georgia" w:eastAsia="Georgia" w:hAnsi="Georgia" w:cs="Georgia"/>
          <w:b/>
          <w:bCs/>
          <w:color w:val="3A4A2E"/>
          <w:sz w:val="30"/>
          <w:szCs w:val="30"/>
        </w:rPr>
        <w:lastRenderedPageBreak/>
        <w:t>Sobre el proyecto</w:t>
      </w:r>
    </w:p>
    <w:p w14:paraId="64B0BA77" w14:textId="77777777" w:rsidR="00E05114" w:rsidRDefault="00000000">
      <w:pPr>
        <w:spacing w:after="160"/>
      </w:pPr>
      <w:r>
        <w:rPr>
          <w:rFonts w:ascii="Calibri" w:eastAsia="Calibri" w:hAnsi="Calibri" w:cs="Calibri"/>
          <w:color w:val="2B2B26"/>
          <w:sz w:val="21"/>
          <w:szCs w:val="21"/>
        </w:rPr>
        <w:t xml:space="preserve">Artística es una red social pensada exclusivamente para artistas: un espacio donde publicar obra, descubrir el trabajo de otros creadores y, sobre todo, gestionar comisiones de principio a fin sin salir de la </w:t>
      </w:r>
      <w:proofErr w:type="gramStart"/>
      <w:r>
        <w:rPr>
          <w:rFonts w:ascii="Calibri" w:eastAsia="Calibri" w:hAnsi="Calibri" w:cs="Calibri"/>
          <w:color w:val="2B2B26"/>
          <w:sz w:val="21"/>
          <w:szCs w:val="21"/>
        </w:rPr>
        <w:t>app</w:t>
      </w:r>
      <w:proofErr w:type="gramEnd"/>
      <w:r>
        <w:rPr>
          <w:rFonts w:ascii="Calibri" w:eastAsia="Calibri" w:hAnsi="Calibri" w:cs="Calibri"/>
          <w:color w:val="2B2B26"/>
          <w:sz w:val="21"/>
          <w:szCs w:val="21"/>
        </w:rPr>
        <w:t>. No hay un rol de "usuario normal" que solo consume — todo el que se registra es artista, y las comisiones se negocian artista a artista.</w:t>
      </w:r>
    </w:p>
    <w:p w14:paraId="6AEE487C" w14:textId="77777777" w:rsidR="00E05114" w:rsidRDefault="00000000">
      <w:pPr>
        <w:spacing w:after="160"/>
      </w:pPr>
      <w:r>
        <w:rPr>
          <w:rFonts w:ascii="Calibri" w:eastAsia="Calibri" w:hAnsi="Calibri" w:cs="Calibri"/>
          <w:color w:val="2B2B26"/>
          <w:sz w:val="21"/>
          <w:szCs w:val="21"/>
        </w:rPr>
        <w:t xml:space="preserve">El corazón del producto es el flujo de comisión: un cliente solicita una pieza, negocia alcance y precio en un chat con estados claros (Pendiente, Negociando, Pagado, Entregado, Liberado), y el pago queda retenido en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escrow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hasta que la entrega se aprueba. A eso se suman una política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anti-contenido-generado-por-IA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y varias vías de monetización para los artistas.</w:t>
      </w:r>
    </w:p>
    <w:p w14:paraId="525FB468" w14:textId="77777777" w:rsidR="00E05114" w:rsidRDefault="00000000">
      <w:pPr>
        <w:spacing w:after="160"/>
      </w:pPr>
      <w:r>
        <w:rPr>
          <w:rFonts w:ascii="Calibri" w:eastAsia="Calibri" w:hAnsi="Calibri" w:cs="Calibri"/>
          <w:color w:val="2B2B26"/>
          <w:sz w:val="21"/>
          <w:szCs w:val="21"/>
        </w:rPr>
        <w:t xml:space="preserve">Este documento reúne dos cosas: 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stack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tecnológico elegido para construirlo — con el porqué de cada decisión — y las pantallas de diseño que muestran cómo se ve y se siente ese flujo en la práctica.</w:t>
      </w:r>
    </w:p>
    <w:p w14:paraId="3C98E142" w14:textId="77777777" w:rsidR="00E05114" w:rsidRDefault="00000000">
      <w:pPr>
        <w:pBdr>
          <w:bottom w:val="single" w:sz="6" w:space="4" w:color="C1592B"/>
        </w:pBdr>
        <w:spacing w:before="400" w:after="200"/>
      </w:pPr>
      <w:r>
        <w:rPr>
          <w:rFonts w:ascii="Georgia" w:eastAsia="Georgia" w:hAnsi="Georgia" w:cs="Georgia"/>
          <w:b/>
          <w:bCs/>
          <w:color w:val="3A4A2E"/>
          <w:sz w:val="30"/>
          <w:szCs w:val="30"/>
        </w:rPr>
        <w:t>Stack tecnológico</w:t>
      </w:r>
    </w:p>
    <w:p w14:paraId="500674E5" w14:textId="77777777" w:rsidR="00E05114" w:rsidRDefault="00000000">
      <w:pPr>
        <w:spacing w:after="160"/>
      </w:pPr>
      <w:r>
        <w:rPr>
          <w:rFonts w:ascii="Calibri" w:eastAsia="Calibri" w:hAnsi="Calibri" w:cs="Calibri"/>
          <w:color w:val="2B2B26"/>
          <w:sz w:val="21"/>
          <w:szCs w:val="21"/>
        </w:rPr>
        <w:t>Resumen técnico de las herramientas y librerías elegidas para Artística, y por qué se eligió cada una.</w:t>
      </w:r>
    </w:p>
    <w:p w14:paraId="22BF5FD1" w14:textId="77777777" w:rsidR="00E05114" w:rsidRDefault="00000000">
      <w:pPr>
        <w:spacing w:before="260" w:after="120"/>
      </w:pPr>
      <w:proofErr w:type="spellStart"/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>Backend</w:t>
      </w:r>
      <w:proofErr w:type="spellEnd"/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 xml:space="preserve"> / API</w:t>
      </w:r>
    </w:p>
    <w:p w14:paraId="22CB9A9C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Python 3.12 — </w:t>
      </w:r>
      <w:r>
        <w:rPr>
          <w:rFonts w:ascii="Calibri" w:eastAsia="Calibri" w:hAnsi="Calibri" w:cs="Calibri"/>
          <w:color w:val="2B2B26"/>
          <w:sz w:val="21"/>
          <w:szCs w:val="21"/>
        </w:rPr>
        <w:t>Lenguaje. El componente de IA de la rúbrica vive en Python; otro lenguaje obliga a un segundo servicio.</w:t>
      </w:r>
    </w:p>
    <w:p w14:paraId="77F729A9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>Framework web. Genera /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docs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navegable solo: esa es la demo de API en defensa.</w:t>
      </w:r>
    </w:p>
    <w:p w14:paraId="6006342D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Uvicorn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Servidor que ejecuta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. Es cómo se corre.</w:t>
      </w:r>
    </w:p>
    <w:p w14:paraId="690C7EE2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v2 (+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pydantic-settings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)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Valida datos de entrada y carga variables de entorno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tipadas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. Ya viene con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; rechaza lo inválido antes de la lógica.</w:t>
      </w:r>
    </w:p>
    <w:p w14:paraId="1F6C8A75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SQLAlchemy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2.0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ORM. 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escrow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necesita transacciones explícitas: marcar entregado y liberar pago pasan juntos o no pasan.</w:t>
      </w:r>
    </w:p>
    <w:p w14:paraId="220862A1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psycopg3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Driver de PostgreSQL.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SQLAlchemy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traduce a SQL,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psycopg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lo transmite.</w:t>
      </w:r>
    </w:p>
    <w:p w14:paraId="36BC6FD7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Alembic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>Migraciones versionadas. Sin esto se sincroniza el esquema a mano entre el equipo.</w:t>
      </w:r>
    </w:p>
    <w:p w14:paraId="761B4B2B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PyJWT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Verifica la firma del token de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. Sin ese paso, cualquiera fabrica un token y se hace pasar por otro artista.</w:t>
      </w:r>
    </w:p>
    <w:p w14:paraId="101F9614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httpx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Cliente HTTP. Llama la API de ONVO y es el cliente de pruebas de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en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pytest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.</w:t>
      </w:r>
    </w:p>
    <w:p w14:paraId="26CD2EA5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Cola de trabajos en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Postgres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Tabla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jobs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con SKIP LOCKED +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worker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. Clasificar con IA tarda segundos y no puede bloquear 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request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; usa la base ya existente en vez de Redis.</w:t>
      </w:r>
    </w:p>
    <w:p w14:paraId="28833E51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ONVO Pay (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sandbox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) o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TiloPay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>Pasarela. Costarricense, entorno real, sin depender de una entidad en Estados Unidos.</w:t>
      </w:r>
    </w:p>
    <w:p w14:paraId="4DFA831D" w14:textId="77777777" w:rsidR="00E05114" w:rsidRDefault="00000000">
      <w:pPr>
        <w:spacing w:before="260" w:after="120"/>
      </w:pPr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>Base de datos</w:t>
      </w:r>
    </w:p>
    <w:p w14:paraId="1E84D9A3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(PostgreSQL 15)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escrow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necesita ACID: el dinero no puede quedar en estado intermedio.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suma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auth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y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storage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sin dejar de ser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Postgres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estándar.</w:t>
      </w:r>
    </w:p>
    <w:p w14:paraId="699DFD7B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pgvector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>Similitud de contenido. Es la recomendación por estilo que promete el proyecto, sin base vectorial aparte.</w:t>
      </w:r>
    </w:p>
    <w:p w14:paraId="6D124B85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tsvector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Búsqueda de texto. Cubre descubrimiento por categoría sin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Elasticsearch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.</w:t>
      </w:r>
    </w:p>
    <w:p w14:paraId="71E82679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lastRenderedPageBreak/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Supavisor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(6543 API / 5432 migraciones)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Pool de conexiones.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Postgres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tiene límite de conexiones; las migraciones necesitan la directa.</w:t>
      </w:r>
    </w:p>
    <w:p w14:paraId="7218E538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Proyecto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dev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y proyecto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prod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>Una migración a medias en la base de la demo no tiene vuelta atrás.</w:t>
      </w:r>
    </w:p>
    <w:p w14:paraId="401E7986" w14:textId="77777777" w:rsidR="00E05114" w:rsidRDefault="00000000">
      <w:pPr>
        <w:spacing w:before="260" w:after="120"/>
      </w:pPr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>Autenticación</w:t>
      </w:r>
    </w:p>
    <w:p w14:paraId="6C28DDF9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Auth: Google, Apple, correo/contraseña — </w:t>
      </w:r>
      <w:r>
        <w:rPr>
          <w:rFonts w:ascii="Calibri" w:eastAsia="Calibri" w:hAnsi="Calibri" w:cs="Calibri"/>
          <w:color w:val="2B2B26"/>
          <w:sz w:val="21"/>
          <w:szCs w:val="21"/>
        </w:rPr>
        <w:t>Tres proveedores sin construir ninguno. Apple es obligatorio en iOS si se ofrece Google.</w:t>
      </w:r>
    </w:p>
    <w:p w14:paraId="76D8808E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Autorización en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, sin RLS —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dice quién es; la API decide qué puede hacer. Repartir permisos entre RLS y código es cómo se contradicen, y acá se mueve dinero.</w:t>
      </w:r>
    </w:p>
    <w:p w14:paraId="6AC8C563" w14:textId="77777777" w:rsidR="00E05114" w:rsidRDefault="00000000">
      <w:pPr>
        <w:spacing w:before="260" w:after="120"/>
      </w:pPr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>Storage</w:t>
      </w:r>
    </w:p>
    <w:p w14:paraId="33496645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Storage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Mismo proveedor, mismo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auth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, una sola factura.</w:t>
      </w:r>
    </w:p>
    <w:p w14:paraId="21E52FEC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Signed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upload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URLs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El archivo va del teléfono a Storage directo. Si pasa por la API, bloquea un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worker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por subida y paga el ancho de banda dos veces.</w:t>
      </w:r>
    </w:p>
    <w:p w14:paraId="706C35D1" w14:textId="77777777" w:rsidR="00E05114" w:rsidRDefault="00000000">
      <w:pPr>
        <w:spacing w:before="260" w:after="120"/>
      </w:pPr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>DevOps</w:t>
      </w:r>
    </w:p>
    <w:p w14:paraId="02597EE7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Docker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Un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Dockerfile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, dos comandos: API y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worker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. El equipo levanta 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sin instalar Python.</w:t>
      </w:r>
    </w:p>
    <w:p w14:paraId="3E660DA7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Railway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Hosting. Se despliega con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git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push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en vez de administrar una VM.</w:t>
      </w:r>
    </w:p>
    <w:p w14:paraId="6C26A02D" w14:textId="77777777" w:rsidR="00E05114" w:rsidRPr="00B550B5" w:rsidRDefault="00000000">
      <w:pPr>
        <w:spacing w:after="130"/>
        <w:ind w:left="215"/>
        <w:rPr>
          <w:lang w:val="en-US"/>
        </w:rPr>
      </w:pPr>
      <w:r w:rsidRPr="00B550B5">
        <w:rPr>
          <w:b/>
          <w:bCs/>
          <w:color w:val="C1592B"/>
          <w:sz w:val="21"/>
          <w:szCs w:val="21"/>
          <w:lang w:val="en-US"/>
        </w:rPr>
        <w:t xml:space="preserve">•  </w:t>
      </w:r>
      <w:r w:rsidRPr="00B550B5">
        <w:rPr>
          <w:rFonts w:ascii="Calibri" w:eastAsia="Calibri" w:hAnsi="Calibri" w:cs="Calibri"/>
          <w:b/>
          <w:bCs/>
          <w:color w:val="3A4A2E"/>
          <w:sz w:val="21"/>
          <w:szCs w:val="21"/>
          <w:lang w:val="en-US"/>
        </w:rPr>
        <w:t xml:space="preserve">GitHub Actions — </w:t>
      </w:r>
      <w:r w:rsidRPr="00B550B5">
        <w:rPr>
          <w:rFonts w:ascii="Calibri" w:eastAsia="Calibri" w:hAnsi="Calibri" w:cs="Calibri"/>
          <w:color w:val="2B2B26"/>
          <w:sz w:val="21"/>
          <w:szCs w:val="21"/>
          <w:lang w:val="en-US"/>
        </w:rPr>
        <w:t>CI/CD: tests → build → alembic upgrade head → deploy.</w:t>
      </w:r>
    </w:p>
    <w:p w14:paraId="20DBCD65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Ruff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Formato y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linting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de Python. Reemplaza Black,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isort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y Flake8 en una sola herramienta.</w:t>
      </w:r>
    </w:p>
    <w:p w14:paraId="2B6356A9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pytest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Tests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. 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escrow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y la verificación del JWT son lo que, si falla, falla caro.</w:t>
      </w:r>
    </w:p>
    <w:p w14:paraId="1D00695D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pre-commit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Corre Ruff antes de cada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commit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. Evita que los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diffs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sean ruido de formato.</w:t>
      </w:r>
    </w:p>
    <w:p w14:paraId="33D6D1B4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Sentry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Errores en producción con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stack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trace. Si no, uno se entera porque alguien avisa.</w:t>
      </w:r>
    </w:p>
    <w:p w14:paraId="5337B3B7" w14:textId="77777777" w:rsidR="00E05114" w:rsidRDefault="00000000">
      <w:pPr>
        <w:spacing w:before="260" w:after="120"/>
      </w:pPr>
      <w:proofErr w:type="spellStart"/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>Frontend</w:t>
      </w:r>
      <w:proofErr w:type="spellEnd"/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 xml:space="preserve"> / Mobile propuesto</w:t>
      </w:r>
    </w:p>
    <w:p w14:paraId="1AF65EB5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React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Native (Expo)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Ya definido como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mobile-first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; Expo evita pelear con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Xcode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/Android Studio para correr la demo.</w:t>
      </w:r>
    </w:p>
    <w:p w14:paraId="789BF674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Expo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Router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Navegación por archivos, encaja con la estructura de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tabs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ya definida (Inicio/Explorar/Crear/Mensajes/Perfil).</w:t>
      </w:r>
    </w:p>
    <w:p w14:paraId="124AC2E5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Mismo nivel de tipado que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del lado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, atrapa errores antes de correr.</w:t>
      </w:r>
    </w:p>
    <w:p w14:paraId="59237D51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JS Client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Mismo proveedor que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auth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storage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del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, un solo SDK para login y subida directa por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signed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URL.</w:t>
      </w:r>
    </w:p>
    <w:p w14:paraId="418B7A1F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TanStack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Query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Cachea y sincroniza las llamadas a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sin reinventar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loading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/error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states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a mano.</w:t>
      </w:r>
    </w:p>
    <w:p w14:paraId="1ED8CE1B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NativeWind —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Tailwind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para RN, estilos rápidos y consistentes sin hojas de estilo sueltas.</w:t>
      </w:r>
    </w:p>
    <w:p w14:paraId="7E67A949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Zustand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>Estado de sesión/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auth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global, más liviano que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Redux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para lo que se necesita.</w:t>
      </w:r>
    </w:p>
    <w:p w14:paraId="69D660A9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React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Hook Form +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Zod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Validación de formularios (solicitud de comisión, registro) espejando las validaciones de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Pydantic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del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.</w:t>
      </w:r>
    </w:p>
    <w:p w14:paraId="60471912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FlashList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Lista del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feed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con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scroll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performante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, crítico al mostrar imagen/audio/video en cascada.</w:t>
      </w:r>
    </w:p>
    <w:p w14:paraId="2299B40A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Expo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Notifications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>Ya estaba contemplado, entra directo acá.</w:t>
      </w:r>
    </w:p>
    <w:p w14:paraId="7D9C97B4" w14:textId="77777777" w:rsidR="00E05114" w:rsidRDefault="00000000">
      <w:pPr>
        <w:spacing w:before="260" w:after="120"/>
      </w:pPr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 xml:space="preserve">Arquitectura: </w:t>
      </w:r>
      <w:proofErr w:type="spellStart"/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>monorepo</w:t>
      </w:r>
      <w:proofErr w:type="spellEnd"/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 xml:space="preserve"> modular</w:t>
      </w:r>
    </w:p>
    <w:p w14:paraId="7B74DDCE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lastRenderedPageBreak/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Monorepo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modular — </w:t>
      </w:r>
      <w:r>
        <w:rPr>
          <w:rFonts w:ascii="Calibri" w:eastAsia="Calibri" w:hAnsi="Calibri" w:cs="Calibri"/>
          <w:color w:val="2B2B26"/>
          <w:sz w:val="21"/>
          <w:szCs w:val="21"/>
        </w:rPr>
        <w:t>Un repo, dos módulos: /</w:t>
      </w:r>
      <w:proofErr w:type="gramStart"/>
      <w:r>
        <w:rPr>
          <w:rFonts w:ascii="Calibri" w:eastAsia="Calibri" w:hAnsi="Calibri" w:cs="Calibri"/>
          <w:color w:val="2B2B26"/>
          <w:sz w:val="21"/>
          <w:szCs w:val="21"/>
        </w:rPr>
        <w:t>app</w:t>
      </w:r>
      <w:proofErr w:type="gramEnd"/>
      <w:r>
        <w:rPr>
          <w:rFonts w:ascii="Calibri" w:eastAsia="Calibri" w:hAnsi="Calibri" w:cs="Calibri"/>
          <w:color w:val="2B2B26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React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Native + Expo, Brian) y /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FastAPI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, Esteban).</w:t>
      </w:r>
    </w:p>
    <w:p w14:paraId="4D6E2D22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en dos servicios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API y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worker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separados, para que la IA y el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escrow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no bloqueen la </w:t>
      </w:r>
      <w:proofErr w:type="gramStart"/>
      <w:r>
        <w:rPr>
          <w:rFonts w:ascii="Calibri" w:eastAsia="Calibri" w:hAnsi="Calibri" w:cs="Calibri"/>
          <w:color w:val="2B2B26"/>
          <w:sz w:val="21"/>
          <w:szCs w:val="21"/>
        </w:rPr>
        <w:t>app</w:t>
      </w:r>
      <w:proofErr w:type="gramEnd"/>
      <w:r>
        <w:rPr>
          <w:rFonts w:ascii="Calibri" w:eastAsia="Calibri" w:hAnsi="Calibri" w:cs="Calibri"/>
          <w:color w:val="2B2B26"/>
          <w:sz w:val="21"/>
          <w:szCs w:val="21"/>
        </w:rPr>
        <w:t>.</w:t>
      </w:r>
    </w:p>
    <w:p w14:paraId="16C65097" w14:textId="77777777" w:rsidR="00E05114" w:rsidRDefault="00000000">
      <w:pPr>
        <w:spacing w:before="260" w:after="120"/>
      </w:pPr>
      <w:r>
        <w:rPr>
          <w:rFonts w:ascii="Georgia" w:eastAsia="Georgia" w:hAnsi="Georgia" w:cs="Georgia"/>
          <w:b/>
          <w:bCs/>
          <w:color w:val="C1592B"/>
          <w:sz w:val="24"/>
          <w:szCs w:val="24"/>
        </w:rPr>
        <w:t>Infraestructura</w:t>
      </w:r>
    </w:p>
    <w:p w14:paraId="510E5F29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proofErr w:type="spellStart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>Supabase</w:t>
      </w:r>
      <w:proofErr w:type="spellEnd"/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 — </w:t>
      </w:r>
      <w:r>
        <w:rPr>
          <w:rFonts w:ascii="Calibri" w:eastAsia="Calibri" w:hAnsi="Calibri" w:cs="Calibri"/>
          <w:color w:val="2B2B26"/>
          <w:sz w:val="21"/>
          <w:szCs w:val="21"/>
        </w:rPr>
        <w:t>PostgreSQL + Auth (Google, Apple, correo) + Storage, un solo proveedor.</w:t>
      </w:r>
    </w:p>
    <w:p w14:paraId="2F658B7A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Pagos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ONVO Pay o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TiloPay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(en evaluación,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sandbox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), pasarela costarricense sin depender de Stripe.</w:t>
      </w:r>
    </w:p>
    <w:p w14:paraId="65A48A28" w14:textId="77777777" w:rsidR="00E05114" w:rsidRDefault="00000000">
      <w:pPr>
        <w:spacing w:after="130"/>
        <w:ind w:left="215"/>
      </w:pPr>
      <w:r>
        <w:rPr>
          <w:b/>
          <w:bCs/>
          <w:color w:val="C1592B"/>
          <w:sz w:val="21"/>
          <w:szCs w:val="21"/>
        </w:rPr>
        <w:t xml:space="preserve">•  </w:t>
      </w:r>
      <w:r>
        <w:rPr>
          <w:rFonts w:ascii="Calibri" w:eastAsia="Calibri" w:hAnsi="Calibri" w:cs="Calibri"/>
          <w:b/>
          <w:bCs/>
          <w:color w:val="3A4A2E"/>
          <w:sz w:val="21"/>
          <w:szCs w:val="21"/>
        </w:rPr>
        <w:t xml:space="preserve">Despliegue — </w:t>
      </w:r>
      <w:r>
        <w:rPr>
          <w:rFonts w:ascii="Calibri" w:eastAsia="Calibri" w:hAnsi="Calibri" w:cs="Calibri"/>
          <w:color w:val="2B2B26"/>
          <w:sz w:val="21"/>
          <w:szCs w:val="21"/>
        </w:rPr>
        <w:t xml:space="preserve">Docker +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Railway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+ GitHub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Actions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, cada módulo en su contenedor con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deploy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 xml:space="preserve"> automático al hacer </w:t>
      </w:r>
      <w:proofErr w:type="spellStart"/>
      <w:r>
        <w:rPr>
          <w:rFonts w:ascii="Calibri" w:eastAsia="Calibri" w:hAnsi="Calibri" w:cs="Calibri"/>
          <w:color w:val="2B2B26"/>
          <w:sz w:val="21"/>
          <w:szCs w:val="21"/>
        </w:rPr>
        <w:t>push</w:t>
      </w:r>
      <w:proofErr w:type="spellEnd"/>
      <w:r>
        <w:rPr>
          <w:rFonts w:ascii="Calibri" w:eastAsia="Calibri" w:hAnsi="Calibri" w:cs="Calibri"/>
          <w:color w:val="2B2B26"/>
          <w:sz w:val="21"/>
          <w:szCs w:val="21"/>
        </w:rPr>
        <w:t>.</w:t>
      </w:r>
    </w:p>
    <w:p w14:paraId="7454FB44" w14:textId="77777777" w:rsidR="00E05114" w:rsidRDefault="00000000">
      <w:r>
        <w:br w:type="page"/>
      </w:r>
    </w:p>
    <w:p w14:paraId="7B385EA1" w14:textId="77777777" w:rsidR="00E05114" w:rsidRDefault="00000000">
      <w:pPr>
        <w:pBdr>
          <w:bottom w:val="single" w:sz="6" w:space="4" w:color="C1592B"/>
        </w:pBdr>
        <w:spacing w:before="400" w:after="200"/>
      </w:pPr>
      <w:r>
        <w:rPr>
          <w:rFonts w:ascii="Georgia" w:eastAsia="Georgia" w:hAnsi="Georgia" w:cs="Georgia"/>
          <w:b/>
          <w:bCs/>
          <w:color w:val="3A4A2E"/>
          <w:sz w:val="30"/>
          <w:szCs w:val="30"/>
        </w:rPr>
        <w:lastRenderedPageBreak/>
        <w:t>Diseño de la aplicación</w:t>
      </w:r>
    </w:p>
    <w:p w14:paraId="5898DAE6" w14:textId="3594E07E" w:rsidR="0066767C" w:rsidRDefault="00B550B5" w:rsidP="00B550B5">
      <w:pPr>
        <w:spacing w:after="160"/>
      </w:pPr>
      <w:hyperlink r:id="rId7" w:history="1">
        <w:r w:rsidRPr="00F04F8B">
          <w:rPr>
            <w:rStyle w:val="Hipervnculo"/>
          </w:rPr>
          <w:t>https://claude.ai/code/artifact/2783ebb1-3c26-4f45-aa1f-8b091a9d488d</w:t>
        </w:r>
      </w:hyperlink>
    </w:p>
    <w:sectPr w:rsidR="0066767C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674C3" w14:textId="77777777" w:rsidR="0066767C" w:rsidRDefault="0066767C">
      <w:r>
        <w:separator/>
      </w:r>
    </w:p>
  </w:endnote>
  <w:endnote w:type="continuationSeparator" w:id="0">
    <w:p w14:paraId="38DEECA4" w14:textId="77777777" w:rsidR="0066767C" w:rsidRDefault="00667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8395E" w14:textId="77777777" w:rsidR="00E05114" w:rsidRDefault="00000000">
    <w:pPr>
      <w:jc w:val="center"/>
    </w:pPr>
    <w:r>
      <w:rPr>
        <w:color w:val="6B6B6B"/>
        <w:sz w:val="16"/>
        <w:szCs w:val="16"/>
      </w:rPr>
      <w:t xml:space="preserve">Artística —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B550B5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9292D" w14:textId="77777777" w:rsidR="0066767C" w:rsidRDefault="0066767C">
      <w:r>
        <w:separator/>
      </w:r>
    </w:p>
  </w:footnote>
  <w:footnote w:type="continuationSeparator" w:id="0">
    <w:p w14:paraId="4CB39052" w14:textId="77777777" w:rsidR="0066767C" w:rsidRDefault="006676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F7524"/>
    <w:multiLevelType w:val="hybridMultilevel"/>
    <w:tmpl w:val="CE1203FC"/>
    <w:lvl w:ilvl="0" w:tplc="24680502">
      <w:start w:val="1"/>
      <w:numFmt w:val="bullet"/>
      <w:lvlText w:val="●"/>
      <w:lvlJc w:val="left"/>
      <w:pPr>
        <w:ind w:left="720" w:hanging="360"/>
      </w:pPr>
    </w:lvl>
    <w:lvl w:ilvl="1" w:tplc="82AA210C">
      <w:start w:val="1"/>
      <w:numFmt w:val="bullet"/>
      <w:lvlText w:val="○"/>
      <w:lvlJc w:val="left"/>
      <w:pPr>
        <w:ind w:left="1440" w:hanging="360"/>
      </w:pPr>
    </w:lvl>
    <w:lvl w:ilvl="2" w:tplc="14E624A2">
      <w:start w:val="1"/>
      <w:numFmt w:val="bullet"/>
      <w:lvlText w:val="■"/>
      <w:lvlJc w:val="left"/>
      <w:pPr>
        <w:ind w:left="2160" w:hanging="360"/>
      </w:pPr>
    </w:lvl>
    <w:lvl w:ilvl="3" w:tplc="DA965C56">
      <w:start w:val="1"/>
      <w:numFmt w:val="bullet"/>
      <w:lvlText w:val="●"/>
      <w:lvlJc w:val="left"/>
      <w:pPr>
        <w:ind w:left="2880" w:hanging="360"/>
      </w:pPr>
    </w:lvl>
    <w:lvl w:ilvl="4" w:tplc="BE5C83C0">
      <w:start w:val="1"/>
      <w:numFmt w:val="bullet"/>
      <w:lvlText w:val="○"/>
      <w:lvlJc w:val="left"/>
      <w:pPr>
        <w:ind w:left="3600" w:hanging="360"/>
      </w:pPr>
    </w:lvl>
    <w:lvl w:ilvl="5" w:tplc="02D05A06">
      <w:start w:val="1"/>
      <w:numFmt w:val="bullet"/>
      <w:lvlText w:val="■"/>
      <w:lvlJc w:val="left"/>
      <w:pPr>
        <w:ind w:left="4320" w:hanging="360"/>
      </w:pPr>
    </w:lvl>
    <w:lvl w:ilvl="6" w:tplc="059A5C28">
      <w:start w:val="1"/>
      <w:numFmt w:val="bullet"/>
      <w:lvlText w:val="●"/>
      <w:lvlJc w:val="left"/>
      <w:pPr>
        <w:ind w:left="5040" w:hanging="360"/>
      </w:pPr>
    </w:lvl>
    <w:lvl w:ilvl="7" w:tplc="E73A2038">
      <w:start w:val="1"/>
      <w:numFmt w:val="bullet"/>
      <w:lvlText w:val="●"/>
      <w:lvlJc w:val="left"/>
      <w:pPr>
        <w:ind w:left="5760" w:hanging="360"/>
      </w:pPr>
    </w:lvl>
    <w:lvl w:ilvl="8" w:tplc="472A94F6">
      <w:start w:val="1"/>
      <w:numFmt w:val="bullet"/>
      <w:lvlText w:val="●"/>
      <w:lvlJc w:val="left"/>
      <w:pPr>
        <w:ind w:left="6480" w:hanging="360"/>
      </w:pPr>
    </w:lvl>
  </w:abstractNum>
  <w:num w:numId="1" w16cid:durableId="1191796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114"/>
    <w:rsid w:val="00362462"/>
    <w:rsid w:val="0066767C"/>
    <w:rsid w:val="00B550B5"/>
    <w:rsid w:val="00E0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E9CCBA"/>
  <w15:docId w15:val="{EF956DA0-7F54-455D-B510-6FE5A8D9D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55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laude.ai/code/artifact/2783ebb1-3c26-4f45-aa1f-8b091a9d488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958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Zeledón</cp:lastModifiedBy>
  <cp:revision>2</cp:revision>
  <dcterms:created xsi:type="dcterms:W3CDTF">2026-09-04T04:27:00Z</dcterms:created>
  <dcterms:modified xsi:type="dcterms:W3CDTF">2026-09-04T04:47:00Z</dcterms:modified>
</cp:coreProperties>
</file>