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8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44"/>
          <w:szCs w:val="44"/>
          <w:u w:val="none"/>
          <w:shd w:fill="auto" w:val="clear"/>
          <w:vertAlign w:val="baseline"/>
          <w:rtl w:val="0"/>
        </w:rPr>
        <w:t xml:space="preserve">ESPECIFICACIÓN DE REQUISITOS NO FUNCIONALES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Sistema Web de Control Financiero Personal con Análisis de Rentabilidad y Proyección Patrimonial (SCFP)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Código: SCFP-ERS-RNF  |  Versión: 1.0  |  Estado: En revisión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20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Elaborado por: </w:t>
      </w:r>
      <w:r w:rsidDel="00000000" w:rsidR="00000000" w:rsidRPr="00000000">
        <w:rPr>
          <w:rtl w:val="0"/>
        </w:rPr>
        <w:t xml:space="preserve">Derly 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Ingeniera de Requisitos / Analista de Negocio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Docente: César Augusto Granada Muñoz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80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Octubre de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20284368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0fq0fhjagh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2scp84y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0p4nwfi18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55lnf9lt7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xr6cirko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11zqjxqb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Convenciones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10e3n2y6n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Requisitos no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nxl47amsd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Eficiencia de desempeño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u0bale94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RNF-001 — Tiempo de respuesta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cyu5803w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RNF-002 — Usuarios concurrentes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l5tzqqle4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n879i70g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RNF-004 — Comunicación cifrada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x4ip4y75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RNF-005 — Protección de la información almacenada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876pgoirc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RNF-006 — Control de acceso por roles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7rp5rf2q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RNF-007 — Protección frente a vulnerabilidades comunes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n0t2jtqj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RNF-008 — Cumplimiento de la ley de protección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23hjwr6t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o56f6puz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RNF-009 — Disponibilidad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swq8wqzfv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RNF-010 — Copias de seguridad y recuperación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ef45awsc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RNF-011 — Exactitud de los cálculos financieros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p3tc7ug8e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RNF-012 — Manejo de errores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fw6keysw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Capacidad de interacción (usabilidad)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1or11j80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RNF-013 — Facilidad de uso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au0t3xid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RNF-014 — Diseño adaptable (responsive)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42rntazj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RNF-015 — Accesibilidad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890lrzdf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RNF-016 — Idioma y formatos locales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h8y5sn0l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RNF-017 — Ayuda y manual de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ronxfnn0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cxnk7kjdx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RNF-018 — Compatibilidad con navegadores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6q7cbo7gf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RNF-019 — Integración con servicios externos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4mkx3z3s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RNF-020 — Estándares de código y control de versiones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y10vn2tk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RNF-022 — Parametrización de valores normativos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51neeh8i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RNF-023 — Escalabilidad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8pbrot6g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mpap9a05u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RNF-024 — Documentación técnica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ymdyrhhzyf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Aprobación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90fq0fhjaghy" w:id="0"/>
      <w:bookmarkEnd w:id="0"/>
      <w:r w:rsidDel="00000000" w:rsidR="00000000" w:rsidRPr="00000000">
        <w:rPr>
          <w:rtl w:val="0"/>
        </w:rPr>
        <w:t xml:space="preserve">Control del documento</w:t>
      </w:r>
    </w:p>
    <w:tbl>
      <w:tblPr>
        <w:tblStyle w:val="Table1"/>
        <w:tblW w:w="9389.0" w:type="dxa"/>
        <w:jc w:val="left"/>
        <w:tblLayout w:type="fixed"/>
        <w:tblLook w:val="0400"/>
      </w:tblPr>
      <w:tblGrid>
        <w:gridCol w:w="2561"/>
        <w:gridCol w:w="6828"/>
        <w:tblGridChange w:id="0">
          <w:tblGrid>
            <w:gridCol w:w="2561"/>
            <w:gridCol w:w="68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del documento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SCFP-ERS-RNF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Versión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 (borrador para revisión)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Fecha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revisión — pendiente de aprobación del cliente (Product Owner)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Elaborado por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Derly Q — Ingeniera de Requisitos / Analista de Negocio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Revisado por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 S— Gerente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Aprobado por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Cesar G — Cliente / Product Owner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Documento relacionado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SCFP-ERS-RF — Especificación de Requisitos Funcionales v1.1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3r0qyyebr5q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sz w:val="36"/>
          <w:szCs w:val="36"/>
        </w:rPr>
      </w:pPr>
      <w:bookmarkStart w:colFirst="0" w:colLast="0" w:name="_heading=h.v32scp84yrh" w:id="2"/>
      <w:bookmarkEnd w:id="2"/>
      <w:r w:rsidDel="00000000" w:rsidR="00000000" w:rsidRPr="00000000">
        <w:rPr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389.0" w:type="dxa"/>
        <w:jc w:val="left"/>
        <w:tblLayout w:type="fixed"/>
        <w:tblLook w:val="0400"/>
      </w:tblPr>
      <w:tblGrid>
        <w:gridCol w:w="1176"/>
        <w:gridCol w:w="1510"/>
        <w:gridCol w:w="1288"/>
        <w:gridCol w:w="5415"/>
        <w:tblGridChange w:id="0">
          <w:tblGrid>
            <w:gridCol w:w="1176"/>
            <w:gridCol w:w="1510"/>
            <w:gridCol w:w="1288"/>
            <w:gridCol w:w="54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 del cambio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20/10/2026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Derly Q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Versión inicial de los requisitos no funcionales.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1.1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20/10/2026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Derly Q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Versión con correcciones y ajustes de RNF al alcance. 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>
          <w:sz w:val="48"/>
          <w:szCs w:val="48"/>
        </w:rPr>
      </w:pPr>
      <w:bookmarkStart w:colFirst="0" w:colLast="0" w:name="_heading=h.hp0p4nwfi185" w:id="3"/>
      <w:bookmarkEnd w:id="3"/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q55lnf9lt7nu" w:id="4"/>
      <w:bookmarkEnd w:id="4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define los requisitos no funcionales (RNF) del SCFP: las condiciones de calidad, seguridad y operación que el sistema debe cumplir sin importar la función que se use. Complementa la especificación de requisitos funcionales (SCFP-ERS-RF).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61b4ouwvcf8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2cxr6cirkoeb" w:id="6"/>
      <w:bookmarkEnd w:id="6"/>
      <w:r w:rsidDel="00000000" w:rsidR="00000000" w:rsidRPr="00000000">
        <w:rPr>
          <w:rtl w:val="0"/>
        </w:rPr>
        <w:t xml:space="preserve">1.2 Referencias</w:t>
      </w:r>
    </w:p>
    <w:tbl>
      <w:tblPr>
        <w:tblStyle w:val="Table3"/>
        <w:tblW w:w="9389.0" w:type="dxa"/>
        <w:jc w:val="left"/>
        <w:tblLayout w:type="fixed"/>
        <w:tblLook w:val="0400"/>
      </w:tblPr>
      <w:tblGrid>
        <w:gridCol w:w="4440"/>
        <w:gridCol w:w="4949"/>
        <w:tblGridChange w:id="0">
          <w:tblGrid>
            <w:gridCol w:w="4440"/>
            <w:gridCol w:w="49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Referencia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ISO/IEC 25010:2023 — Modelo de calidad del producto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Clasificación de los RNF por característica de calidad.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ISO/IEC/IEEE 29148:2018 — Ingeniería de requisitos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Redacción verificable de los requisitos.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OWASP Top 10 (2021)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Referencia para los riesgos de seguridad en aplicaciones web.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WCAG 2.1 (W3C)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Referencia de accesibilidad.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Ley 1581 de 2012 y Decreto 1377 de 2013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Protección de datos personales.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mdw11o8r03x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sz w:val="36"/>
          <w:szCs w:val="36"/>
        </w:rPr>
      </w:pPr>
      <w:bookmarkStart w:colFirst="0" w:colLast="0" w:name="_heading=h.6p11zqjxqbq1" w:id="8"/>
      <w:bookmarkEnd w:id="8"/>
      <w:r w:rsidDel="00000000" w:rsidR="00000000" w:rsidRPr="00000000">
        <w:rPr>
          <w:rtl w:val="0"/>
        </w:rPr>
        <w:t xml:space="preserve">1.3 Convenciones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RNF-NNN</w:t>
      </w:r>
      <w:r w:rsidDel="00000000" w:rsidR="00000000" w:rsidRPr="00000000">
        <w:rPr>
          <w:rtl w:val="0"/>
        </w:rPr>
        <w:t xml:space="preserve">: requisito no funcional.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</w:t>
      </w:r>
      <w:r w:rsidDel="00000000" w:rsidR="00000000" w:rsidRPr="00000000">
        <w:rPr>
          <w:rtl w:val="0"/>
        </w:rPr>
        <w:t xml:space="preserve">: característica de calidad de la ISO/IEC 25010:2023 a la que pertenece el requisito.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se usa la misma escala MoSCoW del documento de requisitos funcionales: Alta (Must), Media (Should), Baja (Could).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valores numéricos son metas iniciales. El equipo y el Product Owner pueden ajustarlos durante los sprints mediante el control de cambios. 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6u10e3n2y6nm" w:id="9"/>
      <w:bookmarkEnd w:id="9"/>
      <w:r w:rsidDel="00000000" w:rsidR="00000000" w:rsidRPr="00000000">
        <w:rPr>
          <w:rtl w:val="0"/>
        </w:rPr>
        <w:t xml:space="preserve">2. Requisitos no funcionales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1nnxl47amsdl" w:id="10"/>
      <w:bookmarkEnd w:id="10"/>
      <w:r w:rsidDel="00000000" w:rsidR="00000000" w:rsidRPr="00000000">
        <w:rPr>
          <w:rtl w:val="0"/>
        </w:rPr>
        <w:t xml:space="preserve">Eficiencia de desempeño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eading=h.14u0bale94hm" w:id="11"/>
      <w:bookmarkEnd w:id="11"/>
      <w:r w:rsidDel="00000000" w:rsidR="00000000" w:rsidRPr="00000000">
        <w:rPr>
          <w:rtl w:val="0"/>
        </w:rPr>
        <w:t xml:space="preserve">RNF-001 — Tiempo de respuesta</w:t>
      </w:r>
    </w:p>
    <w:tbl>
      <w:tblPr>
        <w:tblStyle w:val="Table4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Tiempo de respuesta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Eficiencia de desempeño — comportamiento temporal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responder con rapidez a las operaciones del usuario, para que la experiencia sea fluida.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Las operaciones de registro, edición y consulta responden en 3 segundos o menos en el 95 % de los casos. 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dashboard y los reportes cargan en 5 segundos o menos en el 95 % de los casos. 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heading=h.z9cyu5803wbm" w:id="12"/>
      <w:bookmarkEnd w:id="12"/>
      <w:r w:rsidDel="00000000" w:rsidR="00000000" w:rsidRPr="00000000">
        <w:rPr>
          <w:rtl w:val="0"/>
        </w:rPr>
        <w:t xml:space="preserve">RNF-002 — Usuarios concurrentes</w:t>
      </w:r>
    </w:p>
    <w:tbl>
      <w:tblPr>
        <w:tblStyle w:val="Table5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Usuarios concurrentes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Eficiencia de desempeño — capacidad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 (Should)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soportar el uso simultáneo de varios usuarios sin que se degrade el servicio.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240" w:lineRule="auto"/>
        <w:ind w:left="720" w:right="600" w:hanging="360"/>
      </w:pPr>
      <w:r w:rsidDel="00000000" w:rsidR="00000000" w:rsidRPr="00000000">
        <w:rPr>
          <w:rtl w:val="0"/>
        </w:rPr>
        <w:t xml:space="preserve">Varios usuarios pueden usar el sistema al mismo tiempo sin que las acciones de uno afecten la información ni el funcionamiento de los demás.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g7kdgc7wnyn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eading=h.tdbj9e770vu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rzl5tzqqle48" w:id="15"/>
      <w:bookmarkEnd w:id="15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enn879i70g60" w:id="16"/>
      <w:bookmarkEnd w:id="16"/>
      <w:r w:rsidDel="00000000" w:rsidR="00000000" w:rsidRPr="00000000">
        <w:rPr>
          <w:rtl w:val="0"/>
        </w:rPr>
        <w:t xml:space="preserve">RNF-004 — Comunicación cifrada</w:t>
      </w:r>
    </w:p>
    <w:tbl>
      <w:tblPr>
        <w:tblStyle w:val="Table6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Comunicación cifrada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— confidencialidad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la comunicación entre el navegador y el servidor debe viajar cifrada.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solo funciona por HTTPS con TLS 1.2 o superior. Las peticiones por HTTP se redirigen a HTTPS. 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eading=h.x0x4ip4y75l8" w:id="17"/>
      <w:bookmarkEnd w:id="17"/>
      <w:r w:rsidDel="00000000" w:rsidR="00000000" w:rsidRPr="00000000">
        <w:rPr>
          <w:rtl w:val="0"/>
        </w:rPr>
        <w:t xml:space="preserve">RNF-005 — Protección de la información almacenada</w:t>
      </w:r>
    </w:p>
    <w:tbl>
      <w:tblPr>
        <w:tblStyle w:val="Table7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Protección de la información almacenada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— confidencialidad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de datos, archivos y copias de seguridad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sensible debe estar protegida aunque alguien acceda a la base de datos o a las copias de seguridad.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Las contraseñas y los códigos de verificación se guardan solo como hash, nunca en texto plano. 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base de datos y las copias de seguridad están cifrados en reposo. 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credenciales del sistema (claves, contraseñas de la base de datos, llaves de API) no están en el código fuente; se manejan con variables de entorno o un gestor de secretos. 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heading=h.4f876pgoirce" w:id="18"/>
      <w:bookmarkEnd w:id="18"/>
      <w:r w:rsidDel="00000000" w:rsidR="00000000" w:rsidRPr="00000000">
        <w:rPr>
          <w:rtl w:val="0"/>
        </w:rPr>
        <w:t xml:space="preserve">RNF-006 — Control de acceso por roles</w:t>
      </w:r>
    </w:p>
    <w:tbl>
      <w:tblPr>
        <w:tblStyle w:val="Table8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Control de acceso por roles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— autenticidad y confidencialidad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usuario solo debe poder ver y hacer lo que corresponde a su rol (Usuario o Administrador), y nunca acceder a la información de otro usuario.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Los permisos se validan en el servidor en cada petición, no solo en la interfaz. 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pruebas de acceso confirman que un Usuario no puede consultar datos de otro ni funciones de Administrador. 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eading=h.t37rp5rf2qna" w:id="19"/>
      <w:bookmarkEnd w:id="19"/>
      <w:r w:rsidDel="00000000" w:rsidR="00000000" w:rsidRPr="00000000">
        <w:rPr>
          <w:rtl w:val="0"/>
        </w:rPr>
        <w:t xml:space="preserve">RNF-007 — Protección frente a vulnerabilidades comunes</w:t>
      </w:r>
    </w:p>
    <w:tbl>
      <w:tblPr>
        <w:tblStyle w:val="Table9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Protección frente a vulnerabilidades comunes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— integridad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estar protegido contra los riesgos de seguridad web más comunes, según el OWASP Top 10.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Se previenen como mínimo la inyección SQL, el XSS y el CSRF. 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Antes de cada entrega de corte, un análisis de seguridad automatizado (por ejemplo, OWASP ZAP o el escáner de dependencias del repositorio) no reporta vulnerabilidades de severidad alta o crítica sin resolver. 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eading=h.ftn0t2jtqjug" w:id="20"/>
      <w:bookmarkEnd w:id="20"/>
      <w:r w:rsidDel="00000000" w:rsidR="00000000" w:rsidRPr="00000000">
        <w:rPr>
          <w:rtl w:val="0"/>
        </w:rPr>
        <w:t xml:space="preserve">RNF-008 — Cumplimiento de la ley de protección de datos</w:t>
      </w:r>
    </w:p>
    <w:tbl>
      <w:tblPr>
        <w:tblStyle w:val="Table10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Cumplimiento de la ley de protección de datos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— responsabilidad / restricción legal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tratamiento de los datos personales debe cumplir la Ley 1581 de 2012: autorización del titular, finalidad informada y derechos de consulta, actualización y supresión.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La política de tratamiento de datos está publicada y se puede consultar desde cualquier pantalla. 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derechos del titular se pueden ejercer desde la aplicación (RF-008, RF-009, RF-010, RF-011). 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Solo se piden los datos personales necesarios para el funcionamiento del sistema. 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vw23hjwr6tp3" w:id="21"/>
      <w:bookmarkEnd w:id="21"/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heading=h.sbo56f6puz8h" w:id="22"/>
      <w:bookmarkEnd w:id="22"/>
      <w:r w:rsidDel="00000000" w:rsidR="00000000" w:rsidRPr="00000000">
        <w:rPr>
          <w:rtl w:val="0"/>
        </w:rPr>
        <w:t xml:space="preserve">RNF-009 — Disponibilidad</w:t>
      </w:r>
    </w:p>
    <w:tbl>
      <w:tblPr>
        <w:tblStyle w:val="Table11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Disponibilidad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Fiabilidad — disponibilidad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Ambiente de producción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 (Should)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estar disponible la mayor parte del tiempo para que los usuarios consulten y registren su información cuando lo necesiten.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 mensual de al menos 99 %, sin contar el mantenimiento programado. 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mantenimiento programado se anuncia en la aplicación con al menos 24 horas de anticipación. 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heading=h.1swq8wqzfvjw" w:id="23"/>
      <w:bookmarkEnd w:id="23"/>
      <w:r w:rsidDel="00000000" w:rsidR="00000000" w:rsidRPr="00000000">
        <w:rPr>
          <w:rtl w:val="0"/>
        </w:rPr>
        <w:t xml:space="preserve">RNF-010 — Copias de seguridad y recuperación</w:t>
      </w:r>
    </w:p>
    <w:tbl>
      <w:tblPr>
        <w:tblStyle w:val="Table12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Copias de seguridad y recuperación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Fiabilidad — recuperabilidad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de datos y archivos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un procedimiento de copias de seguridad que permita recuperar la información ante una falla.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Se hace una copia de seguridad automática diaria y se conservan las de los últimos 30 días. 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restauración se prueba al menos una vez por corte académico y se deja evidencia. 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heading=h.pqef45awscxb" w:id="24"/>
      <w:bookmarkEnd w:id="24"/>
      <w:r w:rsidDel="00000000" w:rsidR="00000000" w:rsidRPr="00000000">
        <w:rPr>
          <w:rtl w:val="0"/>
        </w:rPr>
        <w:t xml:space="preserve">RNF-011 — Exactitud de los cálculos financieros</w:t>
      </w:r>
    </w:p>
    <w:tbl>
      <w:tblPr>
        <w:tblStyle w:val="Table13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Exactitud de los cálculos financieros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Adecuación funcional — corrección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MOD-05, MOD-06, MOD-07, MOD-08, MOD-10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cálculos de dinero, tasas, impuestos y aportes deben ser exactos y consistentes en todo el sistema.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Los montos se manejan con tipos decimales, nunca con punto flotante. 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ejemplos numéricos de los criterios de aceptación de los RF están automatizados como pruebas y pasan en cada versión. 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heading=h.np3tc7ug8ewh" w:id="25"/>
      <w:bookmarkEnd w:id="25"/>
      <w:r w:rsidDel="00000000" w:rsidR="00000000" w:rsidRPr="00000000">
        <w:rPr>
          <w:rtl w:val="0"/>
        </w:rPr>
        <w:t xml:space="preserve">RNF-012 — Manejo de errores</w:t>
      </w:r>
    </w:p>
    <w:tbl>
      <w:tblPr>
        <w:tblStyle w:val="Table14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Manejo de errores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Fiabilidad — tolerancia a fallos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 un error, el sistema debe informar al usuario con un mensaje claro, no perder información y registrar el error para que el equipo lo revise.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nunca ve mensajes técnicos (trazas, consultas SQL, nombres de servidores). 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Todo error inesperado queda registrado en el log de la aplicación con fecha, hora y un identificador. </w:t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heading=h.c6fw6keyswwe" w:id="26"/>
      <w:bookmarkEnd w:id="26"/>
      <w:r w:rsidDel="00000000" w:rsidR="00000000" w:rsidRPr="00000000">
        <w:rPr>
          <w:rtl w:val="0"/>
        </w:rPr>
        <w:t xml:space="preserve">Capacidad de interacción (usabilidad)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heading=h.5r1or11j802t" w:id="27"/>
      <w:bookmarkEnd w:id="27"/>
      <w:r w:rsidDel="00000000" w:rsidR="00000000" w:rsidRPr="00000000">
        <w:rPr>
          <w:rtl w:val="0"/>
        </w:rPr>
        <w:t xml:space="preserve">RNF-013 — Facilidad de uso</w:t>
      </w:r>
    </w:p>
    <w:tbl>
      <w:tblPr>
        <w:tblStyle w:val="Table15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Facilidad de uso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Capacidad de interacción — facilidad de aprendizaje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persona sin conocimientos contables debe poder usar las funciones principales sin capacitación previa.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En una prueba con al menos 5 usuarios, la mayoría (4 de 5) registra un ingreso y un gasto sin ayuda en 5 minutos o menos. 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navegación y los nombres de botones, campos y mensajes son consistentes en todo el sistema. 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c1au0t3xide2" w:id="28"/>
      <w:bookmarkEnd w:id="28"/>
      <w:r w:rsidDel="00000000" w:rsidR="00000000" w:rsidRPr="00000000">
        <w:rPr>
          <w:rtl w:val="0"/>
        </w:rPr>
        <w:t xml:space="preserve">RNF-014 — Diseño adaptable (responsive)</w:t>
      </w:r>
    </w:p>
    <w:tbl>
      <w:tblPr>
        <w:tblStyle w:val="Table16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Diseño adaptable (responsive)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Capacidad de interacción — operabilidad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debe verse y funcionar bien en computadores, tabletas y celulares.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pantallas se pueden usar sin desplazamiento horizontal en anchos de 360 px a 1920 px. 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heading=h.er42rntazjuy" w:id="29"/>
      <w:bookmarkEnd w:id="29"/>
      <w:r w:rsidDel="00000000" w:rsidR="00000000" w:rsidRPr="00000000">
        <w:rPr>
          <w:rtl w:val="0"/>
        </w:rPr>
        <w:t xml:space="preserve">RNF-015 — Accesibilidad</w:t>
      </w:r>
    </w:p>
    <w:tbl>
      <w:tblPr>
        <w:tblStyle w:val="Table17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Accesibilidad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Capacidad de interacción — inclusividad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 (Should)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debe poder usarse por personas con limitaciones visuales o motoras, siguiendo las pautas WCAG 2.1 nivel AA.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El contraste de color cumple el nivel AA, la información no depende solo del color y todas las funciones se pueden usar con el teclado. 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 herramienta automática (por ejemplo, Lighthouse o axe) da un puntaje de accesibilidad de al menos 90 en las pantallas principales.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heading=h.yz890lrzdf98" w:id="30"/>
      <w:bookmarkEnd w:id="30"/>
      <w:r w:rsidDel="00000000" w:rsidR="00000000" w:rsidRPr="00000000">
        <w:rPr>
          <w:rtl w:val="0"/>
        </w:rPr>
        <w:t xml:space="preserve">RNF-016 — Idioma y formatos locales</w:t>
      </w:r>
    </w:p>
    <w:tbl>
      <w:tblPr>
        <w:tblStyle w:val="Table18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Idioma y formatos locales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Capacidad de interacción — reconocibilidad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debe estar en español de Colombia y usar los formatos locales de moneda, números y fechas.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Todos los textos de la interfaz, mensajes y correos están en español. 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montos se muestran en pesos colombianos ($ 1.234.567) y las fechas como DD/MM/AAAA. 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heading=h.jrh8y5sn0lhw" w:id="31"/>
      <w:bookmarkEnd w:id="31"/>
      <w:r w:rsidDel="00000000" w:rsidR="00000000" w:rsidRPr="00000000">
        <w:rPr>
          <w:rtl w:val="0"/>
        </w:rPr>
        <w:t xml:space="preserve">RNF-017 — Ayuda y manual de usuario</w:t>
      </w:r>
    </w:p>
    <w:tbl>
      <w:tblPr>
        <w:tblStyle w:val="Table19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Ayuda y manual de usuario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Capacidad de interacción — facilidad de aprendizaje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contar con un manual de usuario y con ayudas breves dentro de la aplicación, sobre todo para los conceptos financieros y tributarios.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El manual de usuario cubre todos los módulos y se entrega en el Corte 3. 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términos técnicos (UVT, IBC, XIRR, entre otros) muestran una explicación corta al pasar el cursor o tocar un ícono de ayuda. 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heading=h.lrronxfnn0sb" w:id="32"/>
      <w:bookmarkEnd w:id="32"/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heading=h.qbcxnk7kjdxd" w:id="33"/>
      <w:bookmarkEnd w:id="33"/>
      <w:r w:rsidDel="00000000" w:rsidR="00000000" w:rsidRPr="00000000">
        <w:rPr>
          <w:rtl w:val="0"/>
        </w:rPr>
        <w:t xml:space="preserve">RNF-018 — Compatibilidad con navegadores</w:t>
      </w:r>
    </w:p>
    <w:tbl>
      <w:tblPr>
        <w:tblStyle w:val="Table20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Compatibilidad con navegadores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Compatibilidad — interoperabilidad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sistema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debe funcionar correctamente en los navegadores más usados.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Funciona en las dos últimas versiones de Chrome, Edge, Firefox y Safari, sin necesidad de instalar complementos. 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heading=h.q6q7cbo7gfp4" w:id="34"/>
      <w:bookmarkEnd w:id="34"/>
      <w:r w:rsidDel="00000000" w:rsidR="00000000" w:rsidRPr="00000000">
        <w:rPr>
          <w:rtl w:val="0"/>
        </w:rPr>
        <w:t xml:space="preserve">RNF-019 — Integración con servicios externos</w:t>
      </w:r>
    </w:p>
    <w:tbl>
      <w:tblPr>
        <w:tblStyle w:val="Table21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RNF-019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Integración con servicios externos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Compatibilidad — coexistencia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Envío de correos y consulta de la TRM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 (Should)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servicio externo (proveedor de correo</w:t>
      </w:r>
      <w:r w:rsidDel="00000000" w:rsidR="00000000" w:rsidRPr="00000000">
        <w:rPr>
          <w:rtl w:val="0"/>
        </w:rPr>
        <w:t xml:space="preserve"> u otro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falla, el resto del sistema debe seguir funcionando.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Una falla del servicio externo no impide registrar ni consultar información. 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envíos o consultas fallidas se reintentan y la falla queda registrada en el log. 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heading=h.sz4mkx3z3sr3" w:id="35"/>
      <w:bookmarkEnd w:id="35"/>
      <w:r w:rsidDel="00000000" w:rsidR="00000000" w:rsidRPr="00000000">
        <w:rPr>
          <w:rtl w:val="0"/>
        </w:rPr>
        <w:t xml:space="preserve">RNF-020 — Estándares de código y control de versiones</w:t>
      </w:r>
    </w:p>
    <w:tbl>
      <w:tblPr>
        <w:tblStyle w:val="Table22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RNF-021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Estándares de código y control de versiones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Mantenibilidad — analizabilidad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fuente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debe seguir una guía de estilo acordada por el equipo y estar versionado en un repositorio Git.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Todo cambio entra a la rama principal por medio de un pull request revisado por al menos otro integrante del equipo. 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usa una herramienta de análisis estático (linter) sin errores en la rama principal. 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heading=h.eiy10vn2tku7" w:id="36"/>
      <w:bookmarkEnd w:id="36"/>
      <w:r w:rsidDel="00000000" w:rsidR="00000000" w:rsidRPr="00000000">
        <w:rPr>
          <w:rtl w:val="0"/>
        </w:rPr>
        <w:t xml:space="preserve">RNF-022 — Parametrización de valores normativos</w:t>
      </w:r>
    </w:p>
    <w:tbl>
      <w:tblPr>
        <w:tblStyle w:val="Table23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Parametrización de valores normativos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Mantenibilidad — modificabilidad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MOD-02 y módulos de cálculo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que cambian con la ley o con cada año (UVT, SMMLV, tarifas, topes) no deben estar escritos en el código, para poder actualizarlos sin programar.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Una revisión de código no encuentra valores normativos fijos en el código fuente. 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Cambiar un parámetro desde el módulo de administración (RF-013) no requiere un nuevo despliegue. 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heading=h.td51neeh8i0g" w:id="37"/>
      <w:bookmarkEnd w:id="37"/>
      <w:r w:rsidDel="00000000" w:rsidR="00000000" w:rsidRPr="00000000">
        <w:rPr>
          <w:rtl w:val="0"/>
        </w:rPr>
        <w:t xml:space="preserve">RNF-023 — Escalabilidad</w:t>
      </w:r>
    </w:p>
    <w:tbl>
      <w:tblPr>
        <w:tblStyle w:val="Table24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Escalabilidad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Flexibilidad — escalabilidad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Infraestructura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Baja (Could)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debe permitir atender más usuarios en el futuro agregando recursos, sin rediseñar el sistema.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El backend no guarda estado de sesión en memoria local, de modo que se pueden ejecutar varias instancias en paralelo. 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heading=h.r38pbrot6gq4" w:id="38"/>
      <w:bookmarkEnd w:id="38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heading=h.cmpap9a05uau" w:id="39"/>
      <w:bookmarkEnd w:id="39"/>
      <w:r w:rsidDel="00000000" w:rsidR="00000000" w:rsidRPr="00000000">
        <w:rPr>
          <w:rtl w:val="0"/>
        </w:rPr>
        <w:t xml:space="preserve">RNF-024 — Documentación técnica</w:t>
      </w:r>
    </w:p>
    <w:tbl>
      <w:tblPr>
        <w:tblStyle w:val="Table25"/>
        <w:tblW w:w="9389.0" w:type="dxa"/>
        <w:jc w:val="left"/>
        <w:tblLayout w:type="fixed"/>
        <w:tblLook w:val="0400"/>
      </w:tblPr>
      <w:tblGrid>
        <w:gridCol w:w="2629"/>
        <w:gridCol w:w="6760"/>
        <w:tblGridChange w:id="0">
          <w:tblGrid>
            <w:gridCol w:w="2629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keepNext w:val="1"/>
              <w:spacing w:after="0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Documentación técnica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Mantenibilidad — analizabilidad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Alcance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keepNext w:val="1"/>
              <w:spacing w:after="0" w:lineRule="auto"/>
              <w:jc w:val="left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Prioridad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(Must)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debe entregar la documentación técnica necesaria para que otro equipo pueda entender, instalar y mantener el sistema.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Se entregan como mínimo: diagrama de arquitectura, modelo de datos, documentación de la API (OpenAPI/Swagger) y guía de instalación. 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documentación se entrega en el Corte 3 junto con el MVP final. </w:t>
      </w:r>
    </w:p>
    <w:p w:rsidR="00000000" w:rsidDel="00000000" w:rsidP="00000000" w:rsidRDefault="00000000" w:rsidRPr="00000000" w14:paraId="000001CB">
      <w:pPr>
        <w:pStyle w:val="Heading1"/>
        <w:rPr>
          <w:sz w:val="48"/>
          <w:szCs w:val="48"/>
        </w:rPr>
      </w:pPr>
      <w:bookmarkStart w:colFirst="0" w:colLast="0" w:name="_heading=h.kymdyrhhzyf8" w:id="40"/>
      <w:bookmarkEnd w:id="4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Aprobación</w:t>
      </w:r>
      <w:r w:rsidDel="00000000" w:rsidR="00000000" w:rsidRPr="00000000">
        <w:rPr>
          <w:rtl w:val="0"/>
        </w:rPr>
      </w:r>
    </w:p>
    <w:tbl>
      <w:tblPr>
        <w:tblStyle w:val="Table26"/>
        <w:tblW w:w="9389.0" w:type="dxa"/>
        <w:jc w:val="left"/>
        <w:tblLayout w:type="fixed"/>
        <w:tblLook w:val="0400"/>
      </w:tblPr>
      <w:tblGrid>
        <w:gridCol w:w="5906"/>
        <w:gridCol w:w="1340"/>
        <w:gridCol w:w="1048"/>
        <w:gridCol w:w="1095"/>
        <w:tblGridChange w:id="0">
          <w:tblGrid>
            <w:gridCol w:w="5906"/>
            <w:gridCol w:w="1340"/>
            <w:gridCol w:w="1048"/>
            <w:gridCol w:w="10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Firma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keepNext w:val="1"/>
              <w:spacing w:after="0" w:lineRule="auto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Ingeniera de Requisitos / Analista de Negocio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Derly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Derly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Gerente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Owner / Cliente</w:t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6" w:val="single"/>
              <w:left w:color="8ea9db" w:space="0" w:sz="6" w:val="single"/>
              <w:bottom w:color="8ea9db" w:space="0" w:sz="6" w:val="single"/>
              <w:right w:color="8ea9db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keepNext w:val="1"/>
              <w:spacing w:after="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405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Proyecto Nuclear — Ingeniería de Software — 2026-II</w:t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405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SCFP — Especificación de Requisitos No Funcionales</w:t>
      <w:tab/>
      <w:t xml:space="preserve">Código: SCFP-ERS-RNF · Versión 1.0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pBdr>
        <w:bottom w:color="1f3864" w:space="0" w:sz="4" w:val="single"/>
      </w:pBdr>
      <w:jc w:val="left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left"/>
    </w:pPr>
    <w:rPr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jc w:val="left"/>
    </w:pPr>
    <w:rPr>
      <w:b w:val="1"/>
      <w:bCs w:val="1"/>
      <w:color w:val="1f386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pPr>
      <w:spacing w:after="100" w:afterAutospacing="1" w:before="100" w:beforeAutospacing="1"/>
    </w:pPr>
  </w:style>
  <w:style w:type="paragraph" w:styleId="lbl" w:customStyle="1">
    <w:name w:val="lbl"/>
    <w:basedOn w:val="Normal"/>
    <w:pPr>
      <w:spacing w:after="60" w:before="160"/>
    </w:pPr>
    <w:rPr>
      <w:b w:val="1"/>
      <w:bCs w:val="1"/>
      <w:color w:val="1f3864"/>
    </w:rPr>
  </w:style>
  <w:style w:type="paragraph" w:styleId="NormalWeb">
    <w:name w:val="Normal (Web)"/>
    <w:basedOn w:val="Normal"/>
    <w:uiPriority w:val="99"/>
    <w:semiHidden w:val="1"/>
    <w:unhideWhenUsed w:val="1"/>
    <w:pPr>
      <w:spacing w:afterAutospacing="1" w:beforeAutospacing="1"/>
    </w:pPr>
  </w:style>
  <w:style w:type="character" w:styleId="Ttulo1Car" w:customStyle="1">
    <w:name w:val="Título 1 Car"/>
    <w:basedOn w:val="Fuentedeprrafopredeter"/>
    <w:link w:val="Ttulo1"/>
    <w:uiPriority w:val="9"/>
    <w:rPr>
      <w:rFonts w:ascii="Arial" w:cs="Arial" w:hAnsi="Arial" w:eastAsiaTheme="minorEastAsia"/>
      <w:b w:val="1"/>
      <w:bCs w:val="1"/>
      <w:color w:val="1f3864"/>
      <w:kern w:val="36"/>
      <w:sz w:val="32"/>
      <w:szCs w:val="48"/>
    </w:rPr>
  </w:style>
  <w:style w:type="character" w:styleId="Ttulo2Car" w:customStyle="1">
    <w:name w:val="Título 2 Car"/>
    <w:basedOn w:val="Fuentedeprrafopredeter"/>
    <w:link w:val="Ttulo2"/>
    <w:uiPriority w:val="9"/>
    <w:rPr>
      <w:rFonts w:ascii="Arial" w:cs="Arial" w:hAnsi="Arial" w:eastAsiaTheme="minorEastAsia"/>
      <w:b w:val="1"/>
      <w:bCs w:val="1"/>
      <w:color w:val="2f5496"/>
      <w:sz w:val="26"/>
      <w:szCs w:val="36"/>
    </w:rPr>
  </w:style>
  <w:style w:type="character" w:styleId="Ttulo3Car" w:customStyle="1">
    <w:name w:val="Título 3 Car"/>
    <w:basedOn w:val="Fuentedeprrafopredeter"/>
    <w:link w:val="Ttulo3"/>
    <w:uiPriority w:val="9"/>
    <w:rPr>
      <w:rFonts w:ascii="Arial" w:cs="Arial" w:hAnsi="Arial" w:eastAsiaTheme="minorEastAsia"/>
      <w:b w:val="1"/>
      <w:bCs w:val="1"/>
      <w:color w:val="1f3864"/>
      <w:sz w:val="24"/>
      <w:szCs w:val="27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F150B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F150BB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F150BB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 w:val="1"/>
    <w:rsid w:val="00F150B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150BB"/>
    <w:rPr>
      <w:rFonts w:ascii="Arial" w:cs="Arial" w:hAnsi="Arial" w:eastAsiaTheme="minorEastAsia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 w:val="1"/>
    <w:rsid w:val="00F150B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150BB"/>
    <w:rPr>
      <w:rFonts w:ascii="Arial" w:cs="Arial" w:hAnsi="Arial" w:eastAsiaTheme="minorEastAsia"/>
      <w:sz w:val="22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40.0" w:type="dxa"/>
        <w:left w:w="15.0" w:type="dxa"/>
        <w:bottom w:w="40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6gujAUDyYRv6CKQDBGz16tQMqQ==">CgMxLjAyDmguOTBmcTBmaGphZ2h5Mg5oLjNyMHF5eWVicjVxcjINaC52MzJzY3A4NHlyaDIOaC5ocDBwNG53ZmkxODUyDmgucTU1bG5mOWx0N251Mg5oLjYxYjRvdXd2Y2Y4YTIOaC4yY3hyNmNpcmtvZWIyDmgubWR3MTFvOHIwM3hhMg5oLjZwMTF6cWp4cWJxMTIOaC42dTEwZTNuMnk2bm0yDmguMW5ueGw0N2Ftc2RsMg5oLjE0dTBiYWxlOTRobTIOaC56OWN5dTU4MDN3Ym0yDmguZzdrZGdjN3dueW52Mg5oLnRkYmo5ZTc3MHZ1YzIOaC5yemw1dHpxcWxlNDgyDmguZW5uODc5aTcwZzYwMg5oLngweDRpcDR5NzVsODIOaC40Zjg3NnBnb2lyY2UyDmgudDM3cnA1cmYycW5hMg5oLmZ0bjB0Mmp0cWp1ZzIOaC52dzIzaGp3cjZ0cDMyDmguc2JvNTZmNnB1ejhoMg5oLjFzd3E4d3F6ZnZqdzIOaC5wcWVmNDVhd3NjeGIyDmgubnAzdGM3dWc4ZXdoMg5oLmM2Znc2a2V5c3d3ZTIOaC41cjFvcjExajgwMnQyDmguYzFhdTB0M3hpZGUyMg5oLmVyNDJybnRhemp1eTIOaC55ejg5MGxyemRmOTgyDmguanJoOHk1c24wbGh3Mg5oLmxycm9ueGZubjBzYjIOaC5xYmN4bms3a2pkeGQyDmgucTZxN2NibzdnZnA0Mg5oLnN6NG1reDN6M3NyMzIOaC5laXkxMHZuMnRrdTcyDmgudGQ1MW5lZWg4aTBnMg5oLnIzOHBicm90NmdxNDIOaC5jbXBhcDlhMDV1YXUyDmgua3ltZHlyaGh6eWY4OAByITFYQTJRVmQycjFGUEhiTXRjai0zNV9XX2NyQ3NJbnU2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2026-10-21T04:13:00Z</dcterms:created>
  <dc:creator>Ingeniera de Requisitos / Analista de Negocio</dc:creator>
</cp:coreProperties>
</file>