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Baquero Notes</w:t>
      </w:r>
    </w:p>
    <w:p>
      <w:pPr>
        <w:pStyle w:val="Subtitle"/>
      </w:pPr>
      <w:r>
        <w:t>Integración móvil con el backend  Semana 13</w:t>
      </w:r>
    </w:p>
    <w:p>
      <w:r>
        <w:t xml:space="preserve">Repositorio </w:t>
      </w:r>
      <w:hyperlink r:id="rId10">
        <w:r>
          <w:t>https://github.com/Reos98/Baquero</w:t>
        </w:r>
      </w:hyperlink>
    </w:p>
    <w:p>
      <w:pPr>
        <w:pStyle w:val="Heading1"/>
      </w:pPr>
      <w:r>
        <w:t>Cliente y autenticación</w:t>
      </w:r>
    </w:p>
    <w:p>
      <w:r>
        <w:rPr>
          <w:b w:val="0"/>
        </w:rPr>
        <w:t>La aplicación Flutter consume la API Flask del proyecto mediante un cliente centralizado. La entrega incorpora renovación automática del token, validación por campo y sincronización de notas con almacenamiento local. Código, instrucciones y evidencia se publican en el repositorio indicado.</w:t>
      </w:r>
    </w:p>
    <w:p>
      <w:pPr>
        <w:pStyle w:val="Heading2"/>
      </w:pPr>
      <w:r>
        <w:t>Configuración del cliente</w:t>
      </w:r>
    </w:p>
    <w:p>
      <w:r>
        <w:rPr>
          <w:b/>
        </w:rPr>
        <w:t>Una instancia de Dio</w:t>
      </w:r>
      <w:r>
        <w:rPr>
          <w:b w:val="0"/>
        </w:rPr>
        <w:t xml:space="preserve">, creada en el inicio de la aplicación y compartida por las pantallas. Se eligió por sus interceptores asíncronos, tiempos de espera separados y transporte sustituible en pruebas. </w:t>
      </w:r>
      <w:r>
        <w:rPr>
          <w:b/>
        </w:rPr>
        <w:t>Conexión: 10 s · Envío: 15 s · Recepción: 20 s.</w:t>
      </w:r>
    </w:p>
    <w:p>
      <w:r>
        <w:rPr>
          <w:b/>
        </w:rPr>
        <w:t>Desarrollo:</w:t>
      </w:r>
      <w:r>
        <w:rPr>
          <w:b w:val="0"/>
        </w:rPr>
        <w:t xml:space="preserve"> emulador 10.0.2.2:5000/api; teléfono USB 127.0.0.1:5000/api con adb reverse. </w:t>
      </w:r>
      <w:r>
        <w:rPr>
          <w:b/>
        </w:rPr>
        <w:t>Producción:</w:t>
      </w:r>
      <w:r>
        <w:rPr>
          <w:b w:val="0"/>
        </w:rPr>
        <w:t xml:space="preserve"> API_BASE_URL con HTTPS y APP_ENV=production. Toda compilación release exige HTTPS. Estos valores de compilación son públicos; no contienen secretos.</w:t>
      </w:r>
    </w:p>
    <w:p>
      <w:pPr>
        <w:pStyle w:val="Heading2"/>
      </w:pPr>
      <w:r>
        <w:t>Orden de los interceptores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819"/>
        <w:gridCol w:w="9405"/>
      </w:tblGrid>
      <w:tr>
        <w:trPr>
          <w:cantSplit/>
          <w:tblHeader/>
        </w:trPr>
        <w:tc>
          <w:tcPr>
            <w:tcW w:type="dxa" w:w="81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EF2"/>
          </w:tcPr>
          <w:p>
            <w:pPr>
              <w:spacing w:after="80" w:before="80" w:line="247" w:lineRule="auto"/>
            </w:pPr>
            <w:r>
              <w:rPr>
                <w:b/>
                <w:sz w:val="21"/>
              </w:rPr>
              <w:t>Orden</w:t>
            </w:r>
          </w:p>
        </w:tc>
        <w:tc>
          <w:tcPr>
            <w:tcW w:type="dxa" w:w="94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EF2"/>
          </w:tcPr>
          <w:p>
            <w:pPr>
              <w:spacing w:after="80" w:before="80" w:line="247" w:lineRule="auto"/>
            </w:pPr>
            <w:r>
              <w:rPr>
                <w:b/>
                <w:sz w:val="21"/>
              </w:rPr>
              <w:t>Interceptor y comportamiento</w:t>
            </w:r>
          </w:p>
        </w:tc>
      </w:tr>
      <w:tr>
        <w:trPr>
          <w:cantSplit/>
        </w:trPr>
        <w:tc>
          <w:tcPr>
            <w:tcW w:type="dxa" w:w="81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94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/>
                <w:sz w:val="21"/>
              </w:rPr>
              <w:t>Authentication</w:t>
            </w:r>
            <w:r>
              <w:rPr>
                <w:b w:val="0"/>
                <w:sz w:val="21"/>
              </w:rPr>
              <w:t xml:space="preserve"> lee flutter_secure_storage en cada solicitud protegida e inyecta el encabezado Bearer. El CRUD no recibe tokens desde las pantallas.</w:t>
            </w:r>
          </w:p>
        </w:tc>
      </w:tr>
      <w:tr>
        <w:trPr>
          <w:cantSplit/>
        </w:trPr>
        <w:tc>
          <w:tcPr>
            <w:tcW w:type="dxa" w:w="81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94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/>
                <w:sz w:val="21"/>
              </w:rPr>
              <w:t>Refresh</w:t>
            </w:r>
            <w:r>
              <w:rPr>
                <w:b w:val="0"/>
                <w:sz w:val="21"/>
              </w:rPr>
              <w:t xml:space="preserve"> renueva ante 401. Comparte una sola renovación entre solicitudes concurrentes, guarda el token antes de reenviar y marca authRetried para impedir bucles.</w:t>
            </w:r>
          </w:p>
        </w:tc>
      </w:tr>
      <w:tr>
        <w:trPr>
          <w:cantSplit/>
        </w:trPr>
        <w:tc>
          <w:tcPr>
            <w:tcW w:type="dxa" w:w="81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94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/>
                <w:sz w:val="21"/>
              </w:rPr>
              <w:t>SafeRetry</w:t>
            </w:r>
            <w:r>
              <w:rPr>
                <w:b w:val="0"/>
                <w:sz w:val="21"/>
              </w:rPr>
              <w:t xml:space="preserve"> limita a dos reintentos, con esperas de 400 y 800 ms. Solo operaciones idempotentes; POST requiere un recibo de idempotencia en el backend.</w:t>
            </w:r>
          </w:p>
        </w:tc>
      </w:tr>
      <w:tr>
        <w:trPr>
          <w:cantSplit/>
        </w:trPr>
        <w:tc>
          <w:tcPr>
            <w:tcW w:type="dxa" w:w="81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94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/>
                <w:sz w:val="21"/>
              </w:rPr>
              <w:t>SafeLog</w:t>
            </w:r>
            <w:r>
              <w:rPr>
                <w:b w:val="0"/>
                <w:sz w:val="21"/>
              </w:rPr>
              <w:t xml:space="preserve"> registra solo método, ruta sin consulta y estado. No registra cuerpos ni encabezados y no se incorpora en producción.</w:t>
            </w:r>
          </w:p>
        </w:tc>
      </w:tr>
    </w:tbl>
    <w:p>
      <w:pPr>
        <w:spacing w:after="0"/>
      </w:pPr>
    </w:p>
    <w:p>
      <w:r>
        <w:rPr>
          <w:b w:val="0"/>
        </w:rPr>
        <w:t>El refresh conserva el token de renovación original cuando el servidor solo devuelve un access token nuevo. Un refresh inválido termina la sesión; un fallo de conexión conserva las credenciales para recuperarse después. Cerrar sesión revoca access y refresh de forma persistente y no permite que una renovación tardía reactive la sesión.</w:t>
      </w:r>
    </w:p>
    <w:p>
      <w:r>
        <w:br w:type="page"/>
      </w:r>
    </w:p>
    <w:p>
      <w:pPr>
        <w:pStyle w:val="Heading1"/>
      </w:pPr>
      <w:r>
        <w:t>Contrato y persistencia</w:t>
      </w:r>
    </w:p>
    <w:p>
      <w:r>
        <w:rPr>
          <w:b w:val="0"/>
        </w:rPr>
        <w:t xml:space="preserve">Los modelos </w:t>
      </w:r>
      <w:r>
        <w:rPr>
          <w:b/>
        </w:rPr>
        <w:t>Note</w:t>
      </w:r>
      <w:r>
        <w:rPr>
          <w:b w:val="0"/>
        </w:rPr>
        <w:t xml:space="preserve"> y </w:t>
      </w:r>
      <w:r>
        <w:rPr>
          <w:b/>
        </w:rPr>
        <w:t>Session</w:t>
      </w:r>
      <w:r>
        <w:rPr>
          <w:b w:val="0"/>
        </w:rPr>
        <w:t xml:space="preserve"> usan json_serializable con comprobación de tipos. Sus archivos .g.dart se generan y se versionan. Las respuestas exitosas usan data; los listados incorporan pagination y el cliente recorre todas las páginas.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132"/>
        <w:gridCol w:w="3005"/>
        <w:gridCol w:w="6088"/>
      </w:tblGrid>
      <w:tr>
        <w:trPr>
          <w:cantSplit/>
          <w:tblHeader/>
        </w:trPr>
        <w:tc>
          <w:tcPr>
            <w:tcW w:type="dxa" w:w="11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EF2"/>
          </w:tcPr>
          <w:p>
            <w:pPr>
              <w:spacing w:after="80" w:before="80" w:line="247" w:lineRule="auto"/>
            </w:pPr>
            <w:r>
              <w:rPr>
                <w:b/>
                <w:sz w:val="21"/>
              </w:rPr>
              <w:t>Modelo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EF2"/>
          </w:tcPr>
          <w:p>
            <w:pPr>
              <w:spacing w:after="80" w:before="80" w:line="247" w:lineRule="auto"/>
            </w:pPr>
            <w:r>
              <w:rPr>
                <w:b/>
                <w:sz w:val="21"/>
              </w:rPr>
              <w:t>JSON del servidor</w:t>
            </w:r>
          </w:p>
        </w:tc>
        <w:tc>
          <w:tcPr>
            <w:tcW w:type="dxa" w:w="6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EF2"/>
          </w:tcPr>
          <w:p>
            <w:pPr>
              <w:spacing w:after="80" w:before="80" w:line="247" w:lineRule="auto"/>
            </w:pPr>
            <w:r>
              <w:rPr>
                <w:b/>
                <w:sz w:val="21"/>
              </w:rPr>
              <w:t>Campo del cliente y regla</w:t>
            </w:r>
          </w:p>
        </w:tc>
      </w:tr>
      <w:tr>
        <w:trPr>
          <w:cantSplit/>
        </w:trPr>
        <w:tc>
          <w:tcPr>
            <w:tcW w:type="dxa" w:w="11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Note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id / client_id</w:t>
            </w:r>
          </w:p>
        </w:tc>
        <w:tc>
          <w:tcPr>
            <w:tcW w:type="dxa" w:w="6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id (int nullable) / clientId (String nullable). El ID remoto no se inventa localmente.</w:t>
            </w:r>
          </w:p>
        </w:tc>
      </w:tr>
      <w:tr>
        <w:trPr>
          <w:cantSplit/>
        </w:trPr>
        <w:tc>
          <w:tcPr>
            <w:tcW w:type="dxa" w:w="11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Note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user_id / author_email</w:t>
            </w:r>
          </w:p>
        </w:tc>
        <w:tc>
          <w:tcPr>
            <w:tcW w:type="dxa" w:w="6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userId / authorEmail; opcionales anulables. Se conserva el autor real.</w:t>
            </w:r>
          </w:p>
        </w:tc>
      </w:tr>
      <w:tr>
        <w:trPr>
          <w:cantSplit/>
        </w:trPr>
        <w:tc>
          <w:tcPr>
            <w:tcW w:type="dxa" w:w="11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Note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title / content</w:t>
            </w:r>
          </w:p>
        </w:tc>
        <w:tc>
          <w:tcPr>
            <w:tcW w:type="dxa" w:w="6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String obligatorios; título de 3 a 100 caracteres y contenido de 1 a 5000.</w:t>
            </w:r>
          </w:p>
        </w:tc>
      </w:tr>
      <w:tr>
        <w:trPr>
          <w:cantSplit/>
        </w:trPr>
        <w:tc>
          <w:tcPr>
            <w:tcW w:type="dxa" w:w="11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Note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createdAt</w:t>
            </w:r>
          </w:p>
        </w:tc>
        <w:tc>
          <w:tcPr>
            <w:tcW w:type="dxa" w:w="6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createdAt; int obligatorio, Unix en milisegundos.</w:t>
            </w:r>
          </w:p>
        </w:tc>
      </w:tr>
      <w:tr>
        <w:trPr>
          <w:cantSplit/>
        </w:trPr>
        <w:tc>
          <w:tcPr>
            <w:tcW w:type="dxa" w:w="11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Session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user_id / email / role</w:t>
            </w:r>
          </w:p>
        </w:tc>
        <w:tc>
          <w:tcPr>
            <w:tcW w:type="dxa" w:w="6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userId / email / role; role tiene valor predeterminado user.</w:t>
            </w:r>
          </w:p>
        </w:tc>
      </w:tr>
      <w:tr>
        <w:trPr>
          <w:cantSplit/>
        </w:trPr>
        <w:tc>
          <w:tcPr>
            <w:tcW w:type="dxa" w:w="11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Session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access_token / refresh_token</w:t>
            </w:r>
          </w:p>
        </w:tc>
        <w:tc>
          <w:tcPr>
            <w:tcW w:type="dxa" w:w="6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accessToken / refreshToken; String obligatorios en el almacén seguro.</w:t>
            </w:r>
          </w:p>
        </w:tc>
      </w:tr>
    </w:tbl>
    <w:p>
      <w:pPr>
        <w:spacing w:after="0"/>
      </w:pPr>
    </w:p>
    <w:p>
      <w:pPr>
        <w:pStyle w:val="Heading2"/>
      </w:pPr>
      <w:r>
        <w:t>Fuentes local y remota</w:t>
      </w:r>
    </w:p>
    <w:p>
      <w:r>
        <w:rPr>
          <w:b/>
        </w:rPr>
        <w:t>Las pantallas usan NotesRepository, que coordina ApiService y DBHelper.</w:t>
      </w:r>
      <w:r>
        <w:rPr>
          <w:b w:val="0"/>
        </w:rPr>
        <w:t xml:space="preserve"> El estado visual solicita datos al repositorio sin decidir si proceden de la red o de SQLite. Una cola de futuros serializa las operaciones y evita que el editor y la reconexión sincronicen simultáneamente.</w:t>
      </w:r>
    </w:p>
    <w:p>
      <w:r>
        <w:rPr>
          <w:b w:val="0"/>
        </w:rPr>
        <w:t xml:space="preserve">SQLite v4 utiliza </w:t>
      </w:r>
      <w:r>
        <w:rPr>
          <w:b/>
        </w:rPr>
        <w:t>note_cache, cache_metadata y outbox</w:t>
      </w:r>
      <w:r>
        <w:rPr>
          <w:b w:val="0"/>
        </w:rPr>
        <w:t>. Distingue cuenta de caché, UUID local e ID remoto. La nota y su operación se guardan en una transacción. Se muestran antigüedad, estado sin conexión y número de pendientes. Las eliminaciones pendientes no reaparecen al refrescar.</w:t>
      </w:r>
    </w:p>
    <w:p>
      <w:pPr>
        <w:pStyle w:val="Heading2"/>
      </w:pPr>
      <w:r>
        <w:t>Creaciones sin duplicados</w:t>
      </w:r>
    </w:p>
    <w:p>
      <w:r>
        <w:rPr>
          <w:b w:val="0"/>
        </w:rPr>
        <w:t>Cada POST de creación conserva una clave única y un cuerpo inmutable. El backend guarda la nota y su recibo de idempotencia en la misma transacción. Si la respuesta se pierde, el reenvío obtiene el resultado original. Al confirmar la creación, el ID remoto se propaga a las ediciones y borrados posteriores.</w:t>
      </w:r>
    </w:p>
    <w:p>
      <w:r>
        <w:rPr>
          <w:b w:val="0"/>
        </w:rPr>
        <w:t>Los rechazos permanentes quedan visibles para su corrección. La migración de v3 marca las operaciones antiguas para revisión porque esa versión no tenía recibos de idempotencia. Las credenciales están cifradas; el contenido local de notas no está cifrado. Al cerrar sesión se elimina la caché y cola de esa cuenta.</w:t>
      </w:r>
    </w:p>
    <w:p>
      <w:r>
        <w:br w:type="page"/>
      </w:r>
    </w:p>
    <w:p>
      <w:pPr>
        <w:pStyle w:val="Heading1"/>
      </w:pPr>
      <w:r>
        <w:t>Errores y verificación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146"/>
        <w:gridCol w:w="8078"/>
      </w:tblGrid>
      <w:tr>
        <w:trPr>
          <w:cantSplit/>
          <w:tblHeader/>
        </w:trPr>
        <w:tc>
          <w:tcPr>
            <w:tcW w:type="dxa" w:w="2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EF2"/>
          </w:tcPr>
          <w:p>
            <w:pPr>
              <w:spacing w:after="80" w:before="80" w:line="247" w:lineRule="auto"/>
            </w:pPr>
            <w:r>
              <w:rPr>
                <w:b/>
                <w:sz w:val="21"/>
              </w:rPr>
              <w:t>Familia</w:t>
            </w:r>
          </w:p>
        </w:tc>
        <w:tc>
          <w:tcPr>
            <w:tcW w:type="dxa" w:w="80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EF2"/>
          </w:tcPr>
          <w:p>
            <w:pPr>
              <w:spacing w:after="80" w:before="80" w:line="247" w:lineRule="auto"/>
            </w:pPr>
            <w:r>
              <w:rPr>
                <w:b/>
                <w:sz w:val="21"/>
              </w:rPr>
              <w:t>Traducción y recuperación</w:t>
            </w:r>
          </w:p>
        </w:tc>
      </w:tr>
      <w:tr>
        <w:trPr>
          <w:cantSplit/>
        </w:trPr>
        <w:tc>
          <w:tcPr>
            <w:tcW w:type="dxa" w:w="2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Conectividad</w:t>
            </w:r>
          </w:p>
        </w:tc>
        <w:tc>
          <w:tcPr>
            <w:tcW w:type="dxa" w:w="80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Mensaje sin conexión; conserva caché y cola. Un certificado inválido no se acepta ni se reintenta.</w:t>
            </w:r>
          </w:p>
        </w:tc>
      </w:tr>
      <w:tr>
        <w:trPr>
          <w:cantSplit/>
        </w:trPr>
        <w:tc>
          <w:tcPr>
            <w:tcW w:type="dxa" w:w="2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Tiempo de espera</w:t>
            </w:r>
          </w:p>
        </w:tc>
        <w:tc>
          <w:tcPr>
            <w:tcW w:type="dxa" w:w="80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Mensaje de espera agotada. Recuperación limitada a operaciones idempotentes.</w:t>
            </w:r>
          </w:p>
        </w:tc>
      </w:tr>
      <w:tr>
        <w:trPr>
          <w:cantSplit/>
        </w:trPr>
        <w:tc>
          <w:tcPr>
            <w:tcW w:type="dxa" w:w="2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Cliente 4xx</w:t>
            </w:r>
          </w:p>
        </w:tc>
        <w:tc>
          <w:tcPr>
            <w:tcW w:type="dxa" w:w="80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401 activa renovación controlada. 403 indica permisos; 409 conflicto; 422 muestra error.fields bajo cada campo.</w:t>
            </w:r>
          </w:p>
        </w:tc>
      </w:tr>
      <w:tr>
        <w:trPr>
          <w:cantSplit/>
        </w:trPr>
        <w:tc>
          <w:tcPr>
            <w:tcW w:type="dxa" w:w="21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Servidor o contrato</w:t>
            </w:r>
          </w:p>
        </w:tc>
        <w:tc>
          <w:tcPr>
            <w:tcW w:type="dxa" w:w="80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80" w:before="80" w:line="247" w:lineRule="auto"/>
            </w:pPr>
            <w:r>
              <w:rPr>
                <w:b w:val="0"/>
                <w:sz w:val="21"/>
              </w:rPr>
              <w:t>5xx informa indisponibilidad y permite reintento seguro. JSON incompatible se informa sin ocultarlo como lista vacía.</w:t>
            </w:r>
          </w:p>
        </w:tc>
      </w:tr>
    </w:tbl>
    <w:p>
      <w:pPr>
        <w:spacing w:after="0"/>
      </w:pPr>
    </w:p>
    <w:p>
      <w:pPr>
        <w:pStyle w:val="Heading2"/>
      </w:pPr>
      <w:r>
        <w:t>Seguridad comprobada</w:t>
      </w:r>
    </w:p>
    <w:p>
      <w:r>
        <w:rPr>
          <w:b w:val="0"/>
        </w:rPr>
        <w:t>Se excluyen secretos, bases de ejecución y contraseñas del árbol de entrega. El secreto JWT se suministra desde el entorno y es obligatorio en producción. El manifiesto Android release deshabilita HTTP y backups. El backend exige HTTPS en producción, desactiva debug y usa consultas parametrizadas y autorización por cuenta.</w:t>
      </w:r>
    </w:p>
    <w:p>
      <w:r>
        <w:rPr>
          <w:b w:val="0"/>
        </w:rPr>
        <w:t>No se registran encabezados de autorización ni cuerpos. Las sesiones revocadas siguen revocadas tras reiniciar el servidor. Los roles se consultan en la base de datos y sus cambios tienen efecto inmediato. El historial Git anterior se conserva: retirar archivos del árbol actual no borra versiones pasadas.</w:t>
      </w:r>
    </w:p>
    <w:p>
      <w:pPr>
        <w:pStyle w:val="Heading2"/>
      </w:pPr>
      <w:r>
        <w:t>Pruebas reproducibles</w:t>
      </w:r>
    </w:p>
    <w:p>
      <w:r>
        <w:rPr>
          <w:b/>
        </w:rPr>
        <w:t>21 pruebas del backend y 28 pruebas de Flutter aprobadas.</w:t>
      </w:r>
      <w:r>
        <w:rPr>
          <w:b w:val="0"/>
        </w:rPr>
        <w:t xml:space="preserve"> Flutter analyze no presenta incidencias. Se comprueban renovación concurrente, 401 persistente, 422 por campo, paginación, aislamiento entre cuentas, creaciones simultáneas, respuesta perdida, edición y borrado sin conexión y recuperación de la cola.</w:t>
      </w:r>
    </w:p>
    <w:p>
      <w:r>
        <w:rPr>
          <w:b w:val="0"/>
        </w:rPr>
        <w:t xml:space="preserve">Entorno utilizado: Flutter 3.47.4, Dart 3.13.3, Python 3.12, Java 17 y Android SDK 36. La evidencia del teléfono y el resultado de compilación se detallan en </w:t>
      </w:r>
      <w:r>
        <w:rPr>
          <w:b/>
        </w:rPr>
        <w:t>evidence/semana13/RESULTADOS.md</w:t>
      </w:r>
      <w:r>
        <w:rPr>
          <w:b w:val="0"/>
        </w:rPr>
        <w:t>; el video muestra el recorrido del taller.</w:t>
      </w:r>
    </w:p>
    <w:p>
      <w:pPr>
        <w:pStyle w:val="Heading2"/>
      </w:pPr>
      <w:r>
        <w:t>Ejecutar y revisar</w:t>
      </w:r>
    </w:p>
    <w:p>
      <w:r>
        <w:rPr>
          <w:b/>
        </w:rPr>
        <w:t>Backend:</w:t>
      </w:r>
      <w:r>
        <w:rPr>
          <w:b w:val="0"/>
        </w:rPr>
        <w:t xml:space="preserve"> instalar backend/requirements.txt y ejecutar python -m backend.app. </w:t>
      </w:r>
      <w:r>
        <w:rPr>
          <w:b/>
        </w:rPr>
        <w:t>App:</w:t>
      </w:r>
      <w:r>
        <w:rPr>
          <w:b w:val="0"/>
        </w:rPr>
        <w:t xml:space="preserve"> flutter pub get, dart run build_runner build y flutter run con API_BASE_URL. </w:t>
      </w:r>
      <w:r>
        <w:rPr>
          <w:b/>
        </w:rPr>
        <w:t>Verificación:</w:t>
      </w:r>
      <w:r>
        <w:rPr>
          <w:b w:val="0"/>
        </w:rPr>
        <w:t xml:space="preserve"> flutter analyze, flutter test y python -m pytest -q. Para demostrar expiración, configurar ACCESS_TOKEN_SECONDS=60 antes de iniciar el backend.</w:t>
      </w:r>
    </w:p>
    <w:p>
      <w:r>
        <w:rPr>
          <w:b w:val="0"/>
        </w:rPr>
        <w:t>El servidor integrado de Flask y la firma debug se utilizan para el taller. Un despliegue público requiere servidor WSGI con TLS, clave de firma Android propia y configuración del proxy confiable. La documentación ampliada y las referencias de Dio, serialización Flutter y JWT están en SEMANA_13.md.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Semana 13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Reos98/Baque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de Baquero Notes Semana 13</dc:title>
  <dc:subject>Taller práctico de integración Semana 13</dc:subject>
  <dc:creator>Proyecto Baquero Notes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