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4F46E5"/>
          <w:sz w:val="48"/>
        </w:rPr>
        <w:t>INFORME TÉCNICO Y ARQUITECTURA GENERAL</w:t>
        <w:br/>
        <w:t>POINTLIST v14.2</w:t>
      </w:r>
    </w:p>
    <w:p>
      <w:pPr>
        <w:jc w:val="center"/>
      </w:pPr>
      <w:r>
        <w:rPr>
          <w:rFonts w:ascii="Calibri" w:hAnsi="Calibri"/>
          <w:i/>
          <w:color w:val="64748B"/>
          <w:sz w:val="26"/>
        </w:rPr>
        <w:t>Documento Oficial de Ingeniería de Software, Módulos y Manual Operativo</w:t>
      </w:r>
    </w:p>
    <w:p>
      <w:pPr>
        <w:jc w:val="center"/>
      </w:pPr>
      <w:r>
        <w:rPr>
          <w:rFonts w:ascii="Calibri" w:hAnsi="Calibri"/>
          <w:b/>
          <w:color w:val="10B981"/>
          <w:sz w:val="20"/>
        </w:rPr>
        <w:t>Versión de Plataforma: v14.25.2  |  Fecha: Agosto 2026  |  Estado: Producción PC / Web / Android</w:t>
      </w:r>
    </w:p>
    <w:p>
      <w:pPr>
        <w:spacing w:after="240"/>
      </w:pPr>
    </w:p>
    <w:p>
      <w:pPr>
        <w:spacing w:before="360" w:after="120"/>
      </w:pPr>
      <w:r>
        <w:rPr>
          <w:rFonts w:ascii="Calibri" w:hAnsi="Calibri"/>
          <w:b/>
          <w:color w:val="4F46E5"/>
          <w:sz w:val="32"/>
        </w:rPr>
        <w:t>1. Resumen Ejecutivo y Visión General</w:t>
      </w:r>
    </w:p>
    <w:p>
      <w:pPr>
        <w:spacing w:after="120" w:line="276" w:lineRule="auto"/>
      </w:pPr>
      <w:r>
        <w:rPr>
          <w:rFonts w:ascii="Calibri" w:hAnsi="Calibri"/>
          <w:color w:val="0F172A"/>
          <w:sz w:val="22"/>
        </w:rPr>
        <w:t>PointList es un ecosistema de software educativo multiplataforma diseñado de manera integral para optimizar la gestión del aprendizaje, el rendimiento académico de los estudiantes y la comunicación institucional directa entre docentes y alumnos. Desarrollada sobre una arquitectura modular orientada a servicios, la plataforma combina interfaces reactivas de alta riqueza estética con capacidades de Inteligencia Artificial generativa y visión computacional.</w:t>
      </w:r>
    </w:p>
    <w:p>
      <w:pPr>
        <w:spacing w:after="120" w:line="276" w:lineRule="auto"/>
      </w:pPr>
      <w:r>
        <w:rPr>
          <w:rFonts w:ascii="Calibri" w:hAnsi="Calibri"/>
          <w:color w:val="0F172A"/>
          <w:sz w:val="22"/>
        </w:rPr>
        <w:t>El proyecto resuelve la fragmentación de herramientas educativas convencionales al unificar en una sola suite los módulos de gestión de tareas (estilo Google Classroom), chat institucional en tiempo real, seguimiento de calificaciones, agenda de eventos y metodologías activas de estudio (Pomodoro, Repaso Espaciado, Método Cornell, Mapas Mentales y Técnica Feynman).</w:t>
      </w:r>
    </w:p>
    <w:p>
      <w:pPr>
        <w:spacing w:before="360" w:after="120"/>
      </w:pPr>
      <w:r>
        <w:rPr>
          <w:rFonts w:ascii="Calibri" w:hAnsi="Calibri"/>
          <w:b/>
          <w:color w:val="4F46E5"/>
          <w:sz w:val="32"/>
        </w:rPr>
        <w:t>2. Arquitectura del Sistema y Stack Tecnológico</w:t>
      </w:r>
    </w:p>
    <w:p>
      <w:pPr>
        <w:spacing w:after="120" w:line="276" w:lineRule="auto"/>
      </w:pPr>
      <w:r>
        <w:rPr>
          <w:rFonts w:ascii="Calibri" w:hAnsi="Calibri"/>
          <w:color w:val="0F172A"/>
          <w:sz w:val="22"/>
        </w:rPr>
        <w:t>El sistema se encuentra construido bajo los estándares más exigentes de la industria de software moderno:</w:t>
      </w:r>
    </w:p>
    <w:tbl>
      <w:tblPr>
        <w:tblW w:type="auto" w:w="0"/>
        <w:jc w:val="center"/>
        <w:tblLook w:firstColumn="1" w:firstRow="1" w:lastColumn="0" w:lastRow="0" w:noHBand="0" w:noVBand="1" w:val="04A0"/>
      </w:tblPr>
      <w:tblGrid>
        <w:gridCol w:w="3120"/>
        <w:gridCol w:w="3120"/>
        <w:gridCol w:w="3120"/>
      </w:tblGrid>
      <w:tr>
        <w:tc>
          <w:tcPr>
            <w:tcW w:type="dxa" w:w="3120"/>
            <w:shd w:fill="4F46E5"/>
            <w:tcMar>
              <w:top w:w="100" w:type="dxa"/>
              <w:bottom w:w="100" w:type="dxa"/>
              <w:left w:w="120" w:type="dxa"/>
              <w:right w:w="120" w:type="dxa"/>
            </w:tcMar>
          </w:tcPr>
          <w:p>
            <w:r>
              <w:rPr>
                <w:b/>
                <w:color w:val="FFFFFF"/>
                <w:sz w:val="20"/>
              </w:rPr>
              <w:t>Capa / Componente</w:t>
            </w:r>
          </w:p>
        </w:tc>
        <w:tc>
          <w:tcPr>
            <w:tcW w:type="dxa" w:w="3120"/>
            <w:shd w:fill="4F46E5"/>
            <w:tcMar>
              <w:top w:w="100" w:type="dxa"/>
              <w:bottom w:w="100" w:type="dxa"/>
              <w:left w:w="120" w:type="dxa"/>
              <w:right w:w="120" w:type="dxa"/>
            </w:tcMar>
          </w:tcPr>
          <w:p>
            <w:r>
              <w:rPr>
                <w:b/>
                <w:color w:val="FFFFFF"/>
                <w:sz w:val="20"/>
              </w:rPr>
              <w:t>Tecnología Seleccionada</w:t>
            </w:r>
          </w:p>
        </w:tc>
        <w:tc>
          <w:tcPr>
            <w:tcW w:type="dxa" w:w="3120"/>
            <w:shd w:fill="4F46E5"/>
            <w:tcMar>
              <w:top w:w="100" w:type="dxa"/>
              <w:bottom w:w="100" w:type="dxa"/>
              <w:left w:w="120" w:type="dxa"/>
              <w:right w:w="120" w:type="dxa"/>
            </w:tcMar>
          </w:tcPr>
          <w:p>
            <w:r>
              <w:rPr>
                <w:b/>
                <w:color w:val="FFFFFF"/>
                <w:sz w:val="20"/>
              </w:rPr>
              <w:t>Función / Descripción Técnica</w:t>
            </w:r>
          </w:p>
        </w:tc>
      </w:tr>
      <w:tr>
        <w:tc>
          <w:tcPr>
            <w:tcW w:type="dxa" w:w="3120"/>
            <w:shd w:fill="F8FAFC"/>
            <w:tcMar>
              <w:top w:w="80" w:type="dxa"/>
              <w:bottom w:w="80" w:type="dxa"/>
              <w:left w:w="100" w:type="dxa"/>
              <w:right w:w="100" w:type="dxa"/>
            </w:tcMar>
          </w:tcPr>
          <w:p>
            <w:r>
              <w:rPr>
                <w:b/>
                <w:color w:val="0F172A"/>
                <w:sz w:val="19"/>
              </w:rPr>
              <w:t>Lenguaje Principal</w:t>
            </w:r>
          </w:p>
        </w:tc>
        <w:tc>
          <w:tcPr>
            <w:tcW w:type="dxa" w:w="3120"/>
            <w:shd w:fill="F8FAFC"/>
            <w:tcMar>
              <w:top w:w="80" w:type="dxa"/>
              <w:bottom w:w="80" w:type="dxa"/>
              <w:left w:w="100" w:type="dxa"/>
              <w:right w:w="100" w:type="dxa"/>
            </w:tcMar>
          </w:tcPr>
          <w:p>
            <w:r>
              <w:rPr>
                <w:color w:val="0F172A"/>
                <w:sz w:val="19"/>
              </w:rPr>
              <w:t>Python 3.13.0</w:t>
            </w:r>
          </w:p>
        </w:tc>
        <w:tc>
          <w:tcPr>
            <w:tcW w:type="dxa" w:w="3120"/>
            <w:shd w:fill="F8FAFC"/>
            <w:tcMar>
              <w:top w:w="80" w:type="dxa"/>
              <w:bottom w:w="80" w:type="dxa"/>
              <w:left w:w="100" w:type="dxa"/>
              <w:right w:w="100" w:type="dxa"/>
            </w:tcMar>
          </w:tcPr>
          <w:p>
            <w:r>
              <w:rPr>
                <w:color w:val="0F172A"/>
                <w:sz w:val="19"/>
              </w:rPr>
              <w:t>Motor de ejecución del backend, controladores de navegación y lógica de negocio.</w:t>
            </w:r>
          </w:p>
        </w:tc>
      </w:tr>
      <w:tr>
        <w:tc>
          <w:tcPr>
            <w:tcW w:type="dxa" w:w="3120"/>
            <w:shd w:fill="FFFFFF"/>
            <w:tcMar>
              <w:top w:w="80" w:type="dxa"/>
              <w:bottom w:w="80" w:type="dxa"/>
              <w:left w:w="100" w:type="dxa"/>
              <w:right w:w="100" w:type="dxa"/>
            </w:tcMar>
          </w:tcPr>
          <w:p>
            <w:r>
              <w:rPr>
                <w:b/>
                <w:color w:val="0F172A"/>
                <w:sz w:val="19"/>
              </w:rPr>
              <w:t>Framework de UI</w:t>
            </w:r>
          </w:p>
        </w:tc>
        <w:tc>
          <w:tcPr>
            <w:tcW w:type="dxa" w:w="3120"/>
            <w:shd w:fill="FFFFFF"/>
            <w:tcMar>
              <w:top w:w="80" w:type="dxa"/>
              <w:bottom w:w="80" w:type="dxa"/>
              <w:left w:w="100" w:type="dxa"/>
              <w:right w:w="100" w:type="dxa"/>
            </w:tcMar>
          </w:tcPr>
          <w:p>
            <w:r>
              <w:rPr>
                <w:color w:val="0F172A"/>
                <w:sz w:val="19"/>
              </w:rPr>
              <w:t>Flet / Flutter Engine</w:t>
            </w:r>
          </w:p>
        </w:tc>
        <w:tc>
          <w:tcPr>
            <w:tcW w:type="dxa" w:w="3120"/>
            <w:shd w:fill="FFFFFF"/>
            <w:tcMar>
              <w:top w:w="80" w:type="dxa"/>
              <w:bottom w:w="80" w:type="dxa"/>
              <w:left w:w="100" w:type="dxa"/>
              <w:right w:w="100" w:type="dxa"/>
            </w:tcMar>
          </w:tcPr>
          <w:p>
            <w:r>
              <w:rPr>
                <w:color w:val="0F172A"/>
                <w:sz w:val="19"/>
              </w:rPr>
              <w:t>Renderizado gráfico multiplataforma responsivo y reactivo de alto rendimiento.</w:t>
            </w:r>
          </w:p>
        </w:tc>
      </w:tr>
      <w:tr>
        <w:tc>
          <w:tcPr>
            <w:tcW w:type="dxa" w:w="3120"/>
            <w:shd w:fill="F8FAFC"/>
            <w:tcMar>
              <w:top w:w="80" w:type="dxa"/>
              <w:bottom w:w="80" w:type="dxa"/>
              <w:left w:w="100" w:type="dxa"/>
              <w:right w:w="100" w:type="dxa"/>
            </w:tcMar>
          </w:tcPr>
          <w:p>
            <w:r>
              <w:rPr>
                <w:b/>
                <w:color w:val="0F172A"/>
                <w:sz w:val="19"/>
              </w:rPr>
              <w:t>Base de Datos</w:t>
            </w:r>
          </w:p>
        </w:tc>
        <w:tc>
          <w:tcPr>
            <w:tcW w:type="dxa" w:w="3120"/>
            <w:shd w:fill="F8FAFC"/>
            <w:tcMar>
              <w:top w:w="80" w:type="dxa"/>
              <w:bottom w:w="80" w:type="dxa"/>
              <w:left w:w="100" w:type="dxa"/>
              <w:right w:w="100" w:type="dxa"/>
            </w:tcMar>
          </w:tcPr>
          <w:p>
            <w:r>
              <w:rPr>
                <w:color w:val="0F172A"/>
                <w:sz w:val="19"/>
              </w:rPr>
              <w:t>PostgreSQL (Supabase Pooler IPv4)</w:t>
            </w:r>
          </w:p>
        </w:tc>
        <w:tc>
          <w:tcPr>
            <w:tcW w:type="dxa" w:w="3120"/>
            <w:shd w:fill="F8FAFC"/>
            <w:tcMar>
              <w:top w:w="80" w:type="dxa"/>
              <w:bottom w:w="80" w:type="dxa"/>
              <w:left w:w="100" w:type="dxa"/>
              <w:right w:w="100" w:type="dxa"/>
            </w:tcMar>
          </w:tcPr>
          <w:p>
            <w:r>
              <w:rPr>
                <w:color w:val="0F172A"/>
                <w:sz w:val="19"/>
              </w:rPr>
              <w:t>Almacenamiento relacional en la nube para usuarios, mensajes, notas y asignaciones (puerto 6543 via pg8000).</w:t>
            </w:r>
          </w:p>
        </w:tc>
      </w:tr>
      <w:tr>
        <w:tc>
          <w:tcPr>
            <w:tcW w:type="dxa" w:w="3120"/>
            <w:shd w:fill="FFFFFF"/>
            <w:tcMar>
              <w:top w:w="80" w:type="dxa"/>
              <w:bottom w:w="80" w:type="dxa"/>
              <w:left w:w="100" w:type="dxa"/>
              <w:right w:w="100" w:type="dxa"/>
            </w:tcMar>
          </w:tcPr>
          <w:p>
            <w:r>
              <w:rPr>
                <w:b/>
                <w:color w:val="0F172A"/>
                <w:sz w:val="19"/>
              </w:rPr>
              <w:t>Inteligencia Artificial</w:t>
            </w:r>
          </w:p>
        </w:tc>
        <w:tc>
          <w:tcPr>
            <w:tcW w:type="dxa" w:w="3120"/>
            <w:shd w:fill="FFFFFF"/>
            <w:tcMar>
              <w:top w:w="80" w:type="dxa"/>
              <w:bottom w:w="80" w:type="dxa"/>
              <w:left w:w="100" w:type="dxa"/>
              <w:right w:w="100" w:type="dxa"/>
            </w:tcMar>
          </w:tcPr>
          <w:p>
            <w:r>
              <w:rPr>
                <w:color w:val="0F172A"/>
                <w:sz w:val="19"/>
              </w:rPr>
              <w:t>Groq Cloud + Google Gemini AI</w:t>
            </w:r>
          </w:p>
        </w:tc>
        <w:tc>
          <w:tcPr>
            <w:tcW w:type="dxa" w:w="3120"/>
            <w:shd w:fill="FFFFFF"/>
            <w:tcMar>
              <w:top w:w="80" w:type="dxa"/>
              <w:bottom w:w="80" w:type="dxa"/>
              <w:left w:w="100" w:type="dxa"/>
              <w:right w:w="100" w:type="dxa"/>
            </w:tcMar>
          </w:tcPr>
          <w:p>
            <w:r>
              <w:rPr>
                <w:color w:val="0F172A"/>
                <w:sz w:val="19"/>
              </w:rPr>
              <w:t>Modelos Llama-3.3-70b-versatile (procesamiento de lenguaje ultra veloz) y Gemini-2.0-Flash (visión y análisis de imágenes).</w:t>
            </w:r>
          </w:p>
        </w:tc>
      </w:tr>
      <w:tr>
        <w:tc>
          <w:tcPr>
            <w:tcW w:type="dxa" w:w="3120"/>
            <w:shd w:fill="F8FAFC"/>
            <w:tcMar>
              <w:top w:w="80" w:type="dxa"/>
              <w:bottom w:w="80" w:type="dxa"/>
              <w:left w:w="100" w:type="dxa"/>
              <w:right w:w="100" w:type="dxa"/>
            </w:tcMar>
          </w:tcPr>
          <w:p>
            <w:r>
              <w:rPr>
                <w:b/>
                <w:color w:val="0F172A"/>
                <w:sz w:val="19"/>
              </w:rPr>
              <w:t>Capa de Seguridad</w:t>
            </w:r>
          </w:p>
        </w:tc>
        <w:tc>
          <w:tcPr>
            <w:tcW w:type="dxa" w:w="3120"/>
            <w:shd w:fill="F8FAFC"/>
            <w:tcMar>
              <w:top w:w="80" w:type="dxa"/>
              <w:bottom w:w="80" w:type="dxa"/>
              <w:left w:w="100" w:type="dxa"/>
              <w:right w:w="100" w:type="dxa"/>
            </w:tcMar>
          </w:tcPr>
          <w:p>
            <w:r>
              <w:rPr>
                <w:color w:val="0F172A"/>
                <w:sz w:val="19"/>
              </w:rPr>
              <w:t>PBKDF2-HMAC-SHA256</w:t>
            </w:r>
          </w:p>
        </w:tc>
        <w:tc>
          <w:tcPr>
            <w:tcW w:type="dxa" w:w="3120"/>
            <w:shd w:fill="F8FAFC"/>
            <w:tcMar>
              <w:top w:w="80" w:type="dxa"/>
              <w:bottom w:w="80" w:type="dxa"/>
              <w:left w:w="100" w:type="dxa"/>
              <w:right w:w="100" w:type="dxa"/>
            </w:tcMar>
          </w:tcPr>
          <w:p>
            <w:r>
              <w:rPr>
                <w:color w:val="0F172A"/>
                <w:sz w:val="19"/>
              </w:rPr>
              <w:t>Encriptación de contraseñas con sal aleatoria de 16 bytes y 100,000 iteraciones de derivación de clave.</w:t>
            </w:r>
          </w:p>
        </w:tc>
      </w:tr>
    </w:tbl>
    <w:p>
      <w:pPr>
        <w:spacing w:after="200"/>
      </w:pPr>
    </w:p>
    <w:p>
      <w:pPr>
        <w:spacing w:before="360" w:after="120"/>
      </w:pPr>
      <w:r>
        <w:rPr>
          <w:rFonts w:ascii="Calibri" w:hAnsi="Calibri"/>
          <w:b/>
          <w:color w:val="4F46E5"/>
          <w:sz w:val="32"/>
        </w:rPr>
        <w:t>3. Desglose Detallado de Módulos y Páginas</w:t>
      </w:r>
    </w:p>
    <w:p>
      <w:pPr>
        <w:spacing w:before="240" w:after="80"/>
      </w:pPr>
      <w:r>
        <w:rPr>
          <w:rFonts w:ascii="Calibri" w:hAnsi="Calibri"/>
          <w:b/>
          <w:color w:val="0F172A"/>
          <w:sz w:val="26"/>
        </w:rPr>
        <w:t>3.1. Pantalla de Inicio (Dashboard General)</w:t>
      </w:r>
    </w:p>
    <w:p>
      <w:pPr>
        <w:pStyle w:val="ListBullet"/>
        <w:spacing w:after="60" w:line="276" w:lineRule="auto"/>
      </w:pPr>
      <w:r>
        <w:rPr>
          <w:rFonts w:ascii="Calibri" w:hAnsi="Calibri"/>
          <w:b/>
          <w:color w:val="0F172A"/>
          <w:sz w:val="22"/>
        </w:rPr>
        <w:t xml:space="preserve">Estadísticas Clave: </w:t>
      </w:r>
      <w:r>
        <w:rPr>
          <w:rFonts w:ascii="Calibri" w:hAnsi="Calibri"/>
          <w:color w:val="0F172A"/>
          <w:sz w:val="22"/>
        </w:rPr>
        <w:t>Presenta 4 tarjetas KPI con métricas consolidadas: Promedio General Académico, Asignaturas Registradas, Tareas Pendientes y Próximos Eventos.</w:t>
      </w:r>
    </w:p>
    <w:p>
      <w:pPr>
        <w:pStyle w:val="ListBullet"/>
        <w:spacing w:after="60" w:line="276" w:lineRule="auto"/>
      </w:pPr>
      <w:r>
        <w:rPr>
          <w:rFonts w:ascii="Calibri" w:hAnsi="Calibri"/>
          <w:b/>
          <w:color w:val="0F172A"/>
          <w:sz w:val="22"/>
        </w:rPr>
        <w:t xml:space="preserve">Resumen Visual: </w:t>
      </w:r>
      <w:r>
        <w:rPr>
          <w:rFonts w:ascii="Calibri" w:hAnsi="Calibri"/>
          <w:color w:val="0F172A"/>
          <w:sz w:val="22"/>
        </w:rPr>
        <w:t>Despliega gráficos comparativos del rendimiento estudiantil clasificando notas en Excelentes (&gt;=4.5), Buenas (3.0 a 4.4) y Bajas (&lt;3.0).</w:t>
      </w:r>
    </w:p>
    <w:p>
      <w:pPr>
        <w:pStyle w:val="ListBullet"/>
        <w:spacing w:after="60" w:line="276" w:lineRule="auto"/>
      </w:pPr>
      <w:r>
        <w:rPr>
          <w:rFonts w:ascii="Calibri" w:hAnsi="Calibri"/>
          <w:b/>
          <w:color w:val="0F172A"/>
          <w:sz w:val="22"/>
        </w:rPr>
        <w:t xml:space="preserve">Navegación: </w:t>
      </w:r>
      <w:r>
        <w:rPr>
          <w:rFonts w:ascii="Calibri" w:hAnsi="Calibri"/>
          <w:color w:val="0F172A"/>
          <w:sz w:val="22"/>
        </w:rPr>
        <w:t>Acceso rápido a las notificaciones más recientes y a la barra de navegación lateral.</w:t>
      </w:r>
    </w:p>
    <w:p>
      <w:pPr>
        <w:spacing w:before="240" w:after="80"/>
      </w:pPr>
      <w:r>
        <w:rPr>
          <w:rFonts w:ascii="Calibri" w:hAnsi="Calibri"/>
          <w:b/>
          <w:color w:val="0F172A"/>
          <w:sz w:val="26"/>
        </w:rPr>
        <w:t>3.2. Módulo de Asignaciones y Tareas (Estilo Google Classroom)</w:t>
      </w:r>
    </w:p>
    <w:p>
      <w:pPr>
        <w:spacing w:after="120" w:line="276" w:lineRule="auto"/>
      </w:pPr>
      <w:r>
        <w:rPr>
          <w:rFonts w:ascii="Calibri" w:hAnsi="Calibri"/>
          <w:color w:val="0F172A"/>
          <w:sz w:val="22"/>
        </w:rPr>
        <w:t>Diseñado para la gestión del ciclo completo de vida de los trabajos escolares con roles diferenciados:</w:t>
      </w:r>
    </w:p>
    <w:p>
      <w:pPr>
        <w:pStyle w:val="ListBullet"/>
        <w:spacing w:after="60" w:line="276" w:lineRule="auto"/>
      </w:pPr>
      <w:r>
        <w:rPr>
          <w:rFonts w:ascii="Calibri" w:hAnsi="Calibri"/>
          <w:b/>
          <w:color w:val="0F172A"/>
          <w:sz w:val="22"/>
        </w:rPr>
        <w:t xml:space="preserve">Modo Profesor / Docente: </w:t>
      </w:r>
      <w:r>
        <w:rPr>
          <w:rFonts w:ascii="Calibri" w:hAnsi="Calibri"/>
          <w:color w:val="0F172A"/>
          <w:sz w:val="22"/>
        </w:rPr>
        <w:t>Permite crear nuevas tareas especificando título, asignatura, estudiantes destinatarios (todos o un alumno específico), fecha y hora límite de entrega, instrucciones y puntuación máxima (0.0 a 5.0). Incluye modal de evaluación para calificar las entregas recibidas y redactar retroalimentación personalizada.</w:t>
      </w:r>
    </w:p>
    <w:p>
      <w:pPr>
        <w:pStyle w:val="ListBullet"/>
        <w:spacing w:after="60" w:line="276" w:lineRule="auto"/>
      </w:pPr>
      <w:r>
        <w:rPr>
          <w:rFonts w:ascii="Calibri" w:hAnsi="Calibri"/>
          <w:b/>
          <w:color w:val="0F172A"/>
          <w:sz w:val="22"/>
        </w:rPr>
        <w:t xml:space="preserve">Modo Estudiante: </w:t>
      </w:r>
      <w:r>
        <w:rPr>
          <w:rFonts w:ascii="Calibri" w:hAnsi="Calibri"/>
          <w:color w:val="0F172A"/>
          <w:sz w:val="22"/>
        </w:rPr>
        <w:t>Acceso al dashboard de tareas con barra de búsqueda por título o asignatura y filtros por estado (Todas, Pendientes, Entregadas, Calificadas). Modal de entrega interactivo para redactar respuestas de texto y adjuntar archivos de soporte (PDF, DOCX, ZIP, imágenes, scripts de código).</w:t>
      </w:r>
    </w:p>
    <w:p>
      <w:pPr>
        <w:pStyle w:val="ListBullet"/>
        <w:spacing w:after="60" w:line="276" w:lineRule="auto"/>
      </w:pPr>
      <w:r>
        <w:rPr>
          <w:rFonts w:ascii="Calibri" w:hAnsi="Calibri"/>
          <w:b/>
          <w:color w:val="0F172A"/>
          <w:sz w:val="22"/>
        </w:rPr>
        <w:t xml:space="preserve">Indicadores de Estado: </w:t>
      </w:r>
      <w:r>
        <w:rPr>
          <w:rFonts w:ascii="Calibri" w:hAnsi="Calibri"/>
          <w:color w:val="0F172A"/>
          <w:sz w:val="22"/>
        </w:rPr>
        <w:t>Badges con colores dinámicos (Naranja = Pendiente, Azul = Entregado 🚀, Verde = Calificado ⭐️).</w:t>
      </w:r>
    </w:p>
    <w:p>
      <w:pPr>
        <w:spacing w:before="240" w:after="80"/>
      </w:pPr>
      <w:r>
        <w:rPr>
          <w:rFonts w:ascii="Calibri" w:hAnsi="Calibri"/>
          <w:b/>
          <w:color w:val="0F172A"/>
          <w:sz w:val="26"/>
        </w:rPr>
        <w:t>3.3. Módulo de Mensajería Instantánea y Tiempo Real</w:t>
      </w:r>
    </w:p>
    <w:p>
      <w:pPr>
        <w:spacing w:after="120" w:line="276" w:lineRule="auto"/>
      </w:pPr>
      <w:r>
        <w:rPr>
          <w:rFonts w:ascii="Calibri" w:hAnsi="Calibri"/>
          <w:color w:val="0F172A"/>
          <w:sz w:val="22"/>
        </w:rPr>
        <w:t>Sistema de chat en directo optimizado para la interacción privada y grupal entre miembros de la comunidad escolar:</w:t>
      </w:r>
    </w:p>
    <w:p>
      <w:pPr>
        <w:pStyle w:val="ListBullet"/>
        <w:spacing w:after="60" w:line="276" w:lineRule="auto"/>
      </w:pPr>
      <w:r>
        <w:rPr>
          <w:rFonts w:ascii="Calibri" w:hAnsi="Calibri"/>
          <w:b/>
          <w:color w:val="0F172A"/>
          <w:sz w:val="22"/>
        </w:rPr>
        <w:t xml:space="preserve">Sincronización Ultra Rápida (0.3s): </w:t>
      </w:r>
      <w:r>
        <w:rPr>
          <w:rFonts w:ascii="Calibri" w:hAnsi="Calibri"/>
          <w:color w:val="0F172A"/>
          <w:sz w:val="22"/>
        </w:rPr>
        <w:t>Un subproceso en segundo plano ejecuta consultas periódicas cada 0.3 segundos (3 peticiones por segundo). Cuando un usuario recibe un mensaje entrante, la conversación abierta se refresca instantáneamente (0ms percibidos al ojo humano) sin necesidad de recargar la pantalla.</w:t>
      </w:r>
    </w:p>
    <w:p>
      <w:pPr>
        <w:pStyle w:val="ListBullet"/>
        <w:spacing w:after="60" w:line="276" w:lineRule="auto"/>
      </w:pPr>
      <w:r>
        <w:rPr>
          <w:rFonts w:ascii="Calibri" w:hAnsi="Calibri"/>
          <w:b/>
          <w:color w:val="0F172A"/>
          <w:sz w:val="22"/>
        </w:rPr>
        <w:t xml:space="preserve">Notificaciones Flotantes: </w:t>
      </w:r>
      <w:r>
        <w:rPr>
          <w:rFonts w:ascii="Calibri" w:hAnsi="Calibri"/>
          <w:color w:val="0F172A"/>
          <w:sz w:val="22"/>
        </w:rPr>
        <w:t>Si la aplicación recibe un mensaje entrante de cualquier contacto, se despliega una notificación flotante estilo Toast (💬 Contacto: Contenido del mensaje).</w:t>
      </w:r>
    </w:p>
    <w:p>
      <w:pPr>
        <w:pStyle w:val="ListBullet"/>
        <w:spacing w:after="60" w:line="276" w:lineRule="auto"/>
      </w:pPr>
      <w:r>
        <w:rPr>
          <w:rFonts w:ascii="Calibri" w:hAnsi="Calibri"/>
          <w:b/>
          <w:color w:val="0F172A"/>
          <w:sz w:val="22"/>
        </w:rPr>
        <w:t xml:space="preserve">Menú Contextual Flotante: </w:t>
      </w:r>
      <w:r>
        <w:rPr>
          <w:rFonts w:ascii="Calibri" w:hAnsi="Calibri"/>
          <w:color w:val="0F172A"/>
          <w:sz w:val="22"/>
        </w:rPr>
        <w:t>Al hacer clic derecho sobre cualquier contacto de la lista lateral, se despliega un menú flotante en las coordenadas exactas del cursor del ratón con opciones para Ver Perfil, Archivar Chat, Borrar Chat o Vaciar Historial.</w:t>
      </w:r>
    </w:p>
    <w:p>
      <w:pPr>
        <w:pStyle w:val="ListBullet"/>
        <w:spacing w:after="60" w:line="276" w:lineRule="auto"/>
      </w:pPr>
      <w:r>
        <w:rPr>
          <w:rFonts w:ascii="Calibri" w:hAnsi="Calibri"/>
          <w:b/>
          <w:color w:val="0F172A"/>
          <w:sz w:val="22"/>
        </w:rPr>
        <w:t xml:space="preserve">Función 'Vaciar Historial': </w:t>
      </w:r>
      <w:r>
        <w:rPr>
          <w:rFonts w:ascii="Calibri" w:hAnsi="Calibri"/>
          <w:color w:val="0F172A"/>
          <w:sz w:val="22"/>
        </w:rPr>
        <w:t>Permite limpiar completamente todas las burbujas de texto en pantalla, en el caché global y en PostgreSQL mediante el botón de la escobita (🧹) en la barra del chat o desde el menú contextual, manteniendo la conversación abierta y activa.</w:t>
      </w:r>
    </w:p>
    <w:p>
      <w:pPr>
        <w:pStyle w:val="ListBullet"/>
        <w:spacing w:after="60" w:line="276" w:lineRule="auto"/>
      </w:pPr>
      <w:r>
        <w:rPr>
          <w:rFonts w:ascii="Calibri" w:hAnsi="Calibri"/>
          <w:b/>
          <w:color w:val="0F172A"/>
          <w:sz w:val="22"/>
        </w:rPr>
        <w:t xml:space="preserve">Gestión de Archivados: </w:t>
      </w:r>
      <w:r>
        <w:rPr>
          <w:rFonts w:ascii="Calibri" w:hAnsi="Calibri"/>
          <w:color w:val="0F172A"/>
          <w:sz w:val="22"/>
        </w:rPr>
        <w:t>Modal interactivo para consultar chats archivados con opciones de desarchivado instantáneo.</w:t>
      </w:r>
    </w:p>
    <w:p>
      <w:pPr>
        <w:spacing w:before="240" w:after="80"/>
      </w:pPr>
      <w:r>
        <w:rPr>
          <w:rFonts w:ascii="Calibri" w:hAnsi="Calibri"/>
          <w:b/>
          <w:color w:val="0F172A"/>
          <w:sz w:val="26"/>
        </w:rPr>
        <w:t>3.4. Módulo de Notas y Calificaciones</w:t>
      </w:r>
    </w:p>
    <w:p>
      <w:pPr>
        <w:spacing w:after="120" w:line="276" w:lineRule="auto"/>
      </w:pPr>
      <w:r>
        <w:rPr>
          <w:rFonts w:ascii="Calibri" w:hAnsi="Calibri"/>
          <w:color w:val="0F172A"/>
          <w:sz w:val="22"/>
        </w:rPr>
        <w:t>Registro y consulta de desempeño académico:</w:t>
      </w:r>
    </w:p>
    <w:p>
      <w:pPr>
        <w:pStyle w:val="ListBullet"/>
        <w:spacing w:after="60" w:line="276" w:lineRule="auto"/>
      </w:pPr>
      <w:r>
        <w:rPr>
          <w:rFonts w:ascii="Calibri" w:hAnsi="Calibri"/>
          <w:b/>
          <w:color w:val="0F172A"/>
          <w:sz w:val="22"/>
        </w:rPr>
        <w:t xml:space="preserve">Asignación por Estudiante: </w:t>
      </w:r>
      <w:r>
        <w:rPr>
          <w:rFonts w:ascii="Calibri" w:hAnsi="Calibri"/>
          <w:color w:val="0F172A"/>
          <w:sz w:val="22"/>
        </w:rPr>
        <w:t>Modal interactivo con selector desplegable de estudiantes de la comunidad para asignar calificaciones de 0.0 a 5.0 asociadas a una asignatura específica.</w:t>
      </w:r>
    </w:p>
    <w:p>
      <w:pPr>
        <w:pStyle w:val="ListBullet"/>
        <w:spacing w:after="60" w:line="276" w:lineRule="auto"/>
      </w:pPr>
      <w:r>
        <w:rPr>
          <w:rFonts w:ascii="Calibri" w:hAnsi="Calibri"/>
          <w:b/>
          <w:color w:val="0F172A"/>
          <w:sz w:val="22"/>
        </w:rPr>
        <w:t xml:space="preserve">Visualización por Código de Color: </w:t>
      </w:r>
      <w:r>
        <w:rPr>
          <w:rFonts w:ascii="Calibri" w:hAnsi="Calibri"/>
          <w:color w:val="0F172A"/>
          <w:sz w:val="22"/>
        </w:rPr>
        <w:t>Verde (#10B981) para notas &gt;= 4.1, Morado (#8B5CF6) para 3.0 - 4.0, y Rojo (#EF4444) para notas &lt; 3.0.</w:t>
      </w:r>
    </w:p>
    <w:p>
      <w:pPr>
        <w:spacing w:before="240" w:after="80"/>
      </w:pPr>
      <w:r>
        <w:rPr>
          <w:rFonts w:ascii="Calibri" w:hAnsi="Calibri"/>
          <w:b/>
          <w:color w:val="0F172A"/>
          <w:sz w:val="26"/>
        </w:rPr>
        <w:t>3.5. Calendario Académico</w:t>
      </w:r>
    </w:p>
    <w:p>
      <w:pPr>
        <w:pStyle w:val="ListBullet"/>
        <w:spacing w:after="60" w:line="276" w:lineRule="auto"/>
      </w:pPr>
      <w:r>
        <w:rPr>
          <w:rFonts w:ascii="Calibri" w:hAnsi="Calibri"/>
          <w:b/>
          <w:color w:val="0F172A"/>
          <w:sz w:val="22"/>
        </w:rPr>
        <w:t xml:space="preserve">Filtro de 14 Días: </w:t>
      </w:r>
      <w:r>
        <w:rPr>
          <w:rFonts w:ascii="Calibri" w:hAnsi="Calibri"/>
          <w:color w:val="0F172A"/>
          <w:sz w:val="22"/>
        </w:rPr>
        <w:t>Módulo de agenda que filtra automáticamente los eventos programados en una ventana de 14 días (semana actual + semana siguiente). En caso de no existir eventos agendados, muestra el mensaje amigable: 'Bien, no tienes eventos por ahora'.</w:t>
      </w:r>
    </w:p>
    <w:p>
      <w:pPr>
        <w:spacing w:before="240" w:after="80"/>
      </w:pPr>
      <w:r>
        <w:rPr>
          <w:rFonts w:ascii="Calibri" w:hAnsi="Calibri"/>
          <w:b/>
          <w:color w:val="0F172A"/>
          <w:sz w:val="26"/>
        </w:rPr>
        <w:t>3.6. Asistente IA (ChatBot Académico)</w:t>
      </w:r>
    </w:p>
    <w:p>
      <w:pPr>
        <w:pStyle w:val="ListBullet"/>
        <w:spacing w:after="60" w:line="276" w:lineRule="auto"/>
      </w:pPr>
      <w:r>
        <w:rPr>
          <w:rFonts w:ascii="Calibri" w:hAnsi="Calibri"/>
          <w:b/>
          <w:color w:val="0F172A"/>
          <w:sz w:val="22"/>
        </w:rPr>
        <w:t xml:space="preserve">Motor Dual IA: </w:t>
      </w:r>
      <w:r>
        <w:rPr>
          <w:rFonts w:ascii="Calibri" w:hAnsi="Calibri"/>
          <w:color w:val="0F172A"/>
          <w:sz w:val="22"/>
        </w:rPr>
        <w:t>Integración híbrida con modelos Groq Cloud (Llama 3.3 70B) para respuestas textuales inmediatas y Google Gemini 2.0 Flash para el análisis y descripción de imágenes educativas adjuntas.</w:t>
      </w:r>
    </w:p>
    <w:p>
      <w:pPr>
        <w:pStyle w:val="ListBullet"/>
        <w:spacing w:after="60" w:line="276" w:lineRule="auto"/>
      </w:pPr>
      <w:r>
        <w:rPr>
          <w:rFonts w:ascii="Calibri" w:hAnsi="Calibri"/>
          <w:b/>
          <w:color w:val="0F172A"/>
          <w:sz w:val="22"/>
        </w:rPr>
        <w:t xml:space="preserve">Gestión de Historial: </w:t>
      </w:r>
      <w:r>
        <w:rPr>
          <w:rFonts w:ascii="Calibri" w:hAnsi="Calibri"/>
          <w:color w:val="0F172A"/>
          <w:sz w:val="22"/>
        </w:rPr>
        <w:t>Soporte para múltiples sesiones simultáneas de chat con memoria contextual de conversación.</w:t>
      </w:r>
    </w:p>
    <w:p>
      <w:pPr>
        <w:spacing w:before="240" w:after="80"/>
      </w:pPr>
      <w:r>
        <w:rPr>
          <w:rFonts w:ascii="Calibri" w:hAnsi="Calibri"/>
          <w:b/>
          <w:color w:val="0F172A"/>
          <w:sz w:val="26"/>
        </w:rPr>
        <w:t>3.7. Módulo de Técnicas de Estudio</w:t>
      </w:r>
    </w:p>
    <w:p>
      <w:pPr>
        <w:pStyle w:val="ListBullet"/>
        <w:spacing w:after="60" w:line="276" w:lineRule="auto"/>
      </w:pPr>
      <w:r>
        <w:rPr>
          <w:rFonts w:ascii="Calibri" w:hAnsi="Calibri"/>
          <w:b/>
          <w:color w:val="0F172A"/>
          <w:sz w:val="22"/>
        </w:rPr>
        <w:t xml:space="preserve">Catálogo de Métodos: </w:t>
      </w:r>
      <w:r>
        <w:rPr>
          <w:rFonts w:ascii="Calibri" w:hAnsi="Calibri"/>
          <w:color w:val="0F172A"/>
          <w:sz w:val="22"/>
        </w:rPr>
        <w:t>Herramienta Pomodoro con temporizador configurable, Método Cornell, Mapas Mentales, Repaso Espaciado y Técnica Feynman con guías metodológicas paso a paso.</w:t>
      </w:r>
    </w:p>
    <w:p>
      <w:pPr>
        <w:spacing w:before="240" w:after="80"/>
      </w:pPr>
      <w:r>
        <w:rPr>
          <w:rFonts w:ascii="Calibri" w:hAnsi="Calibri"/>
          <w:b/>
          <w:color w:val="0F172A"/>
          <w:sz w:val="26"/>
        </w:rPr>
        <w:t>3.8. Perfil de Usuario y Configuración</w:t>
      </w:r>
    </w:p>
    <w:p>
      <w:pPr>
        <w:pStyle w:val="ListBullet"/>
        <w:spacing w:after="60" w:line="276" w:lineRule="auto"/>
      </w:pPr>
      <w:r>
        <w:rPr>
          <w:rFonts w:ascii="Calibri" w:hAnsi="Calibri"/>
          <w:b/>
          <w:color w:val="0F172A"/>
          <w:sz w:val="22"/>
        </w:rPr>
        <w:t xml:space="preserve">Ajustes: </w:t>
      </w:r>
      <w:r>
        <w:rPr>
          <w:rFonts w:ascii="Calibri" w:hAnsi="Calibri"/>
          <w:color w:val="0F172A"/>
          <w:sz w:val="22"/>
        </w:rPr>
        <w:t>Personalización de avatar, cambio dinámico entre Modo Claro y Oscuro, y selector de idioma (Español / Inglés).</w:t>
      </w:r>
    </w:p>
    <w:p>
      <w:pPr>
        <w:spacing w:before="360" w:after="120"/>
      </w:pPr>
      <w:r>
        <w:rPr>
          <w:rFonts w:ascii="Calibri" w:hAnsi="Calibri"/>
          <w:b/>
          <w:color w:val="4F46E5"/>
          <w:sz w:val="32"/>
        </w:rPr>
        <w:t>4. Despliegue, Empaquetado y Modo Híbrido Dual</w:t>
      </w:r>
    </w:p>
    <w:p>
      <w:pPr>
        <w:spacing w:after="120" w:line="276" w:lineRule="auto"/>
      </w:pPr>
      <w:r>
        <w:rPr>
          <w:rFonts w:ascii="Calibri" w:hAnsi="Calibri"/>
          <w:color w:val="0F172A"/>
          <w:sz w:val="22"/>
        </w:rPr>
        <w:t>PointList v14.2 ha sido configurada con soporte para la ejecución nativa en escritorio y la entrega como servicio web sin requerir modificaciones en el código fuente:</w:t>
      </w:r>
    </w:p>
    <w:p>
      <w:pPr>
        <w:pStyle w:val="ListBullet"/>
        <w:spacing w:after="60" w:line="276" w:lineRule="auto"/>
      </w:pPr>
      <w:r>
        <w:rPr>
          <w:rFonts w:ascii="Calibri" w:hAnsi="Calibri"/>
          <w:b/>
          <w:color w:val="0F172A"/>
          <w:sz w:val="22"/>
        </w:rPr>
        <w:t xml:space="preserve">Modo Híbrido Dual Simultáneo: </w:t>
      </w:r>
      <w:r>
        <w:rPr>
          <w:rFonts w:ascii="Calibri" w:hAnsi="Calibri"/>
          <w:color w:val="0F172A"/>
          <w:sz w:val="22"/>
        </w:rPr>
        <w:t>Mediante la llamada ft.app(target=main, view=ft.AppView.FLET_APP_WEB, port=active_port), la app abre una ventana nativa de escritorio en Windows y al mismo tiempo levanta el servidor web Tornado en el puerto 8550 (o puerto dinámico devuelto por find_free_port() en caso de conflicto).</w:t>
      </w:r>
    </w:p>
    <w:p>
      <w:pPr>
        <w:pStyle w:val="ListBullet"/>
        <w:spacing w:after="60" w:line="276" w:lineRule="auto"/>
      </w:pPr>
      <w:r>
        <w:rPr>
          <w:rFonts w:ascii="Calibri" w:hAnsi="Calibri"/>
          <w:b/>
          <w:color w:val="0F172A"/>
          <w:sz w:val="22"/>
        </w:rPr>
        <w:t xml:space="preserve">Compilación a .exe: </w:t>
      </w:r>
      <w:r>
        <w:rPr>
          <w:rFonts w:ascii="Calibri" w:hAnsi="Calibri"/>
          <w:color w:val="0F172A"/>
          <w:sz w:val="22"/>
        </w:rPr>
        <w:t>Compilación empaquetada mediante PyInstaller (pointlist.spec). El ejecutable resultante en dist/PointList/PointList.exe incluye todas las dependencias y recursos estáticos sin requerir una instalación previa de Python.</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after="40"/>
            </w:pPr>
            <w:r>
              <w:rPr>
                <w:rFonts w:ascii="Calibri" w:hAnsi="Calibri"/>
                <w:b/>
                <w:color w:val="4F46E5"/>
                <w:sz w:val="21"/>
              </w:rPr>
              <w:t xml:space="preserve">EXPLICACIÓN SOBRE WINDOWS SMARTSCREEN: </w:t>
            </w:r>
            <w:r>
              <w:rPr>
                <w:rFonts w:ascii="Calibri" w:hAnsi="Calibri"/>
                <w:color w:val="0F172A"/>
                <w:sz w:val="21"/>
              </w:rPr>
              <w:t>Al ejecutar por primera vez el archivo PointList.exe en un sistema Windows recién compilado, Windows Defender SmartScreen puede desplegar la pantalla azul informativa ('Windows protegió su PC / Editor desconocido'). Esto ocurre porque el ejecutable no cuenta con un certificado de firma de código comercial pagado de Microsoft. Para ejecutarlo normalmente, el usuario solo debe hacer clic en 'Más información' y seleccionar 'Ejecutar de todas formas'. El archivo es 100% seguro.</w:t>
            </w:r>
          </w:p>
        </w:tc>
      </w:tr>
    </w:tbl>
    <w:p>
      <w:pPr>
        <w:spacing w:after="120"/>
      </w:pPr>
    </w:p>
    <w:p>
      <w:pPr>
        <w:spacing w:before="360" w:after="120"/>
      </w:pPr>
      <w:r>
        <w:rPr>
          <w:rFonts w:ascii="Calibri" w:hAnsi="Calibri"/>
          <w:b/>
          <w:color w:val="4F46E5"/>
          <w:sz w:val="32"/>
        </w:rPr>
        <w:t>5. Organización del Repositorio y Git</w:t>
      </w:r>
    </w:p>
    <w:p>
      <w:pPr>
        <w:spacing w:after="120" w:line="276" w:lineRule="auto"/>
      </w:pPr>
      <w:r>
        <w:rPr>
          <w:rFonts w:ascii="Calibri" w:hAnsi="Calibri"/>
          <w:color w:val="0F172A"/>
          <w:sz w:val="22"/>
        </w:rPr>
        <w:t>El repositorio oficial en GitHub (https://github.com/Esteban250824/PointList-v14.2.git) se estructura en dos módulos principales:</w:t>
      </w:r>
    </w:p>
    <w:p>
      <w:pPr>
        <w:pStyle w:val="ListBullet"/>
        <w:spacing w:after="60" w:line="276" w:lineRule="auto"/>
      </w:pPr>
      <w:r>
        <w:rPr>
          <w:rFonts w:ascii="Calibri" w:hAnsi="Calibri"/>
          <w:b/>
          <w:color w:val="0F172A"/>
          <w:sz w:val="22"/>
        </w:rPr>
        <w:t xml:space="preserve">PointListv14_For_PC/: </w:t>
      </w:r>
      <w:r>
        <w:rPr>
          <w:rFonts w:ascii="Calibri" w:hAnsi="Calibri"/>
          <w:color w:val="0F172A"/>
          <w:sz w:val="22"/>
        </w:rPr>
        <w:t>Contiene la suite completa para computadores de escritorio y servidores web (código fuente Python, assets, servicios, modelos y vistas).</w:t>
      </w:r>
    </w:p>
    <w:p>
      <w:pPr>
        <w:pStyle w:val="ListBullet"/>
        <w:spacing w:after="60" w:line="276" w:lineRule="auto"/>
      </w:pPr>
      <w:r>
        <w:rPr>
          <w:rFonts w:ascii="Calibri" w:hAnsi="Calibri"/>
          <w:b/>
          <w:color w:val="0F172A"/>
          <w:sz w:val="22"/>
        </w:rPr>
        <w:t xml:space="preserve">PointList_for_Android/: </w:t>
      </w:r>
      <w:r>
        <w:rPr>
          <w:rFonts w:ascii="Calibri" w:hAnsi="Calibri"/>
          <w:color w:val="0F172A"/>
          <w:sz w:val="22"/>
        </w:rPr>
        <w:t>Módulo reservado para el desarrollo y adaptación de la experiencia móvil nativa para dispositivos Android.</w:t>
      </w:r>
    </w:p>
    <w:p>
      <w:pPr>
        <w:pStyle w:val="ListBullet"/>
        <w:spacing w:after="60" w:line="276" w:lineRule="auto"/>
      </w:pPr>
      <w:r>
        <w:rPr>
          <w:rFonts w:ascii="Calibri" w:hAnsi="Calibri"/>
          <w:b/>
          <w:color w:val="0F172A"/>
          <w:sz w:val="22"/>
        </w:rPr>
        <w:t xml:space="preserve">Políticas de Seguridad Git: </w:t>
      </w:r>
      <w:r>
        <w:rPr>
          <w:rFonts w:ascii="Calibri" w:hAnsi="Calibri"/>
          <w:color w:val="0F172A"/>
          <w:sz w:val="22"/>
        </w:rPr>
        <w:t>El archivo .gitignore excluye carpetas temporales de compilación (build/, dist/), cachés de Python (__pycache__/), binarios ejecutables (*.exe, *.zip) y credenciales de producción (.env) para garantizar la máxima seguridad e integridad del repositorio.</w:t>
      </w:r>
    </w:p>
    <w:p>
      <w:pPr>
        <w:spacing w:before="360" w:after="120"/>
      </w:pPr>
      <w:r>
        <w:rPr>
          <w:rFonts w:ascii="Calibri" w:hAnsi="Calibri"/>
          <w:b/>
          <w:color w:val="4F46E5"/>
          <w:sz w:val="32"/>
        </w:rPr>
        <w:t>6. Conclusiones y Estado del Proyecto</w:t>
      </w:r>
    </w:p>
    <w:p>
      <w:pPr>
        <w:spacing w:after="120" w:line="276" w:lineRule="auto"/>
      </w:pPr>
      <w:r>
        <w:rPr>
          <w:rFonts w:ascii="Calibri" w:hAnsi="Calibri"/>
          <w:color w:val="0F172A"/>
          <w:sz w:val="22"/>
        </w:rPr>
        <w:t>La versión PointList v14.25.2 representa un hito consolidado en la arquitectura del proyecto, integrando con éxito herramientas avanzadas de gestión académica, comunicación instantánea con tiempos de respuesta imperceptibles (0.3s), IA multimodal y compatibilidad híbrida escritorio/web. El sistema se encuentra 100% probado, optimizado y listo para su uso en producción y despliegue.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