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40"/>
        <w:jc w:val="center"/>
      </w:pPr>
      <w:r>
        <w:rPr>
          <w:b/>
          <w:bCs/>
          <w:color w:val="8A6D1B"/>
          <w:spacing w:val="60"/>
          <w:sz w:val="24"/>
          <w:szCs w:val="24"/>
        </w:rPr>
        <w:t xml:space="preserve">EMPRESA DEMO, S.A.B. DE C.V.</w:t>
      </w:r>
    </w:p>
    <w:p>
      <w:pPr>
        <w:spacing w:after="160"/>
        <w:jc w:val="center"/>
      </w:pPr>
      <w:r>
        <w:rPr>
          <w:b/>
          <w:bCs/>
          <w:color w:val="14302A"/>
          <w:sz w:val="44"/>
          <w:szCs w:val="44"/>
        </w:rPr>
        <w:t xml:space="preserve">Informe de Sostenibilidad NIIF S1 y S2</w:t>
      </w:r>
    </w:p>
    <w:p>
      <w:pPr>
        <w:spacing w:after="600"/>
        <w:jc w:val="center"/>
      </w:pPr>
      <w:r>
        <w:rPr>
          <w:color w:val="6F6A60"/>
          <w:sz w:val="28"/>
          <w:szCs w:val="28"/>
        </w:rPr>
        <w:t xml:space="preserve">Ejercicio 2025</w:t>
      </w:r>
    </w:p>
    <w:p>
      <w:r>
        <w:br w:type="page"/>
      </w:r>
    </w:p>
    <w:p>
      <w:pPr>
        <w:spacing w:after="320"/>
      </w:pPr>
      <w:r>
        <w:rPr>
          <w:b/>
          <w:bCs/>
          <w:color w:val="14302A"/>
          <w:sz w:val="32"/>
          <w:szCs w:val="32"/>
        </w:rPr>
        <w:t xml:space="preserve">Contenido</w:t>
      </w:r>
    </w:p>
    <w:p>
      <w:pPr>
        <w:spacing w:after="100" w:before="240"/>
      </w:pPr>
      <w:r>
        <w:rPr>
          <w:b/>
          <w:bCs/>
          <w:color w:val="8A6D1B"/>
          <w:sz w:val="22"/>
          <w:szCs w:val="22"/>
        </w:rPr>
        <w:t xml:space="preserve">I · Introducción</w:t>
      </w:r>
    </w:p>
    <w:p>
      <w:pPr>
        <w:spacing w:after="40"/>
        <w:ind w:left="340"/>
      </w:pPr>
      <w:r>
        <w:rPr>
          <w:color w:val="6F6A60"/>
          <w:sz w:val="20"/>
          <w:szCs w:val="20"/>
        </w:rPr>
        <w:t xml:space="preserve">1. </w:t>
      </w:r>
      <w:r>
        <w:rPr>
          <w:color w:val="1A1A1A"/>
          <w:sz w:val="20"/>
          <w:szCs w:val="20"/>
        </w:rPr>
        <w:t xml:space="preserve">Carta de la Dirección</w:t>
      </w:r>
    </w:p>
    <w:p>
      <w:pPr>
        <w:spacing w:after="40"/>
        <w:ind w:left="340"/>
      </w:pPr>
      <w:r>
        <w:rPr>
          <w:color w:val="6F6A60"/>
          <w:sz w:val="20"/>
          <w:szCs w:val="20"/>
        </w:rPr>
        <w:t xml:space="preserve">2. </w:t>
      </w:r>
      <w:r>
        <w:rPr>
          <w:color w:val="1A1A1A"/>
          <w:sz w:val="20"/>
          <w:szCs w:val="20"/>
        </w:rPr>
        <w:t xml:space="preserve">Presentación del informe (adopción, CNBV)</w:t>
      </w:r>
    </w:p>
    <w:p>
      <w:pPr>
        <w:spacing w:after="40"/>
        <w:ind w:left="340"/>
      </w:pPr>
      <w:r>
        <w:rPr>
          <w:color w:val="6F6A60"/>
          <w:sz w:val="20"/>
          <w:szCs w:val="20"/>
        </w:rPr>
        <w:t xml:space="preserve">3. </w:t>
      </w:r>
      <w:r>
        <w:rPr>
          <w:color w:val="1A1A1A"/>
          <w:sz w:val="20"/>
          <w:szCs w:val="20"/>
        </w:rPr>
        <w:t xml:space="preserve">Bases de preparación: marco y alivios transitorios</w:t>
      </w:r>
    </w:p>
    <w:p>
      <w:pPr>
        <w:spacing w:after="40"/>
        <w:ind w:left="340"/>
      </w:pPr>
      <w:r>
        <w:rPr>
          <w:color w:val="6F6A60"/>
          <w:sz w:val="20"/>
          <w:szCs w:val="20"/>
        </w:rPr>
        <w:t xml:space="preserve">4. </w:t>
      </w:r>
      <w:r>
        <w:rPr>
          <w:color w:val="1A1A1A"/>
          <w:sz w:val="20"/>
          <w:szCs w:val="20"/>
        </w:rPr>
        <w:t xml:space="preserve">Entidad que informa, periodo y conectividad</w:t>
      </w:r>
    </w:p>
    <w:p>
      <w:pPr>
        <w:spacing w:after="40"/>
        <w:ind w:left="340"/>
      </w:pPr>
      <w:r>
        <w:rPr>
          <w:color w:val="6F6A60"/>
          <w:sz w:val="20"/>
          <w:szCs w:val="20"/>
        </w:rPr>
        <w:t xml:space="preserve">5. </w:t>
      </w:r>
      <w:r>
        <w:rPr>
          <w:color w:val="1A1A1A"/>
          <w:sz w:val="20"/>
          <w:szCs w:val="20"/>
        </w:rPr>
        <w:t xml:space="preserve">Conexiones y referencias cruzadas</w:t>
      </w:r>
    </w:p>
    <w:p>
      <w:pPr>
        <w:spacing w:after="40"/>
        <w:ind w:left="340"/>
      </w:pPr>
      <w:r>
        <w:rPr>
          <w:color w:val="6F6A60"/>
          <w:sz w:val="20"/>
          <w:szCs w:val="20"/>
        </w:rPr>
        <w:t xml:space="preserve">6. </w:t>
      </w:r>
      <w:r>
        <w:rPr>
          <w:color w:val="1A1A1A"/>
          <w:sz w:val="20"/>
          <w:szCs w:val="20"/>
        </w:rPr>
        <w:t xml:space="preserve">Juicios, supuestos e incertidumbres</w:t>
      </w:r>
    </w:p>
    <w:p>
      <w:pPr>
        <w:spacing w:after="40"/>
        <w:ind w:left="340"/>
      </w:pPr>
      <w:r>
        <w:rPr>
          <w:color w:val="6F6A60"/>
          <w:sz w:val="20"/>
          <w:szCs w:val="20"/>
        </w:rPr>
        <w:t xml:space="preserve">7. </w:t>
      </w:r>
      <w:r>
        <w:rPr>
          <w:color w:val="1A1A1A"/>
          <w:sz w:val="20"/>
          <w:szCs w:val="20"/>
        </w:rPr>
        <w:t xml:space="preserve">Materialidad: contexto y proceso</w:t>
      </w:r>
    </w:p>
    <w:p>
      <w:pPr>
        <w:spacing w:after="40"/>
        <w:ind w:left="340"/>
      </w:pPr>
      <w:r>
        <w:rPr>
          <w:color w:val="6F6A60"/>
          <w:sz w:val="20"/>
          <w:szCs w:val="20"/>
        </w:rPr>
        <w:t xml:space="preserve">8. </w:t>
      </w:r>
      <w:r>
        <w:rPr>
          <w:color w:val="1A1A1A"/>
          <w:sz w:val="20"/>
          <w:szCs w:val="20"/>
        </w:rPr>
        <w:t xml:space="preserve">Horizontes temporales</w:t>
      </w:r>
    </w:p>
    <w:p>
      <w:pPr>
        <w:spacing w:after="40"/>
        <w:ind w:left="340"/>
      </w:pPr>
      <w:r>
        <w:rPr>
          <w:color w:val="6F6A60"/>
          <w:sz w:val="20"/>
          <w:szCs w:val="20"/>
        </w:rPr>
        <w:t xml:space="preserve">9. </w:t>
      </w:r>
      <w:r>
        <w:rPr>
          <w:color w:val="1A1A1A"/>
          <w:sz w:val="20"/>
          <w:szCs w:val="20"/>
        </w:rPr>
        <w:t xml:space="preserve">Evaluación y priorización de riesgos</w:t>
      </w:r>
    </w:p>
    <w:p>
      <w:pPr>
        <w:spacing w:after="40"/>
        <w:ind w:left="340"/>
      </w:pPr>
      <w:r>
        <w:rPr>
          <w:color w:val="6F6A60"/>
          <w:sz w:val="20"/>
          <w:szCs w:val="20"/>
        </w:rPr>
        <w:t xml:space="preserve">10. </w:t>
      </w:r>
      <w:r>
        <w:rPr>
          <w:color w:val="1A1A1A"/>
          <w:sz w:val="20"/>
          <w:szCs w:val="20"/>
        </w:rPr>
        <w:t xml:space="preserve">Resumen de efectos financieros actuales y previstos</w:t>
      </w:r>
    </w:p>
    <w:p>
      <w:pPr>
        <w:spacing w:after="40"/>
        <w:ind w:left="340"/>
      </w:pPr>
      <w:r>
        <w:rPr>
          <w:color w:val="6F6A60"/>
          <w:sz w:val="20"/>
          <w:szCs w:val="20"/>
        </w:rPr>
        <w:t xml:space="preserve">11. </w:t>
      </w:r>
      <w:r>
        <w:rPr>
          <w:color w:val="1A1A1A"/>
          <w:sz w:val="20"/>
          <w:szCs w:val="20"/>
        </w:rPr>
        <w:t xml:space="preserve">Nuestra historia (línea de tiempo)</w:t>
      </w:r>
    </w:p>
    <w:p>
      <w:pPr>
        <w:spacing w:after="40"/>
        <w:ind w:left="340"/>
      </w:pPr>
      <w:r>
        <w:rPr>
          <w:color w:val="6F6A60"/>
          <w:sz w:val="20"/>
          <w:szCs w:val="20"/>
        </w:rPr>
        <w:t xml:space="preserve">12. </w:t>
      </w:r>
      <w:r>
        <w:rPr>
          <w:color w:val="1A1A1A"/>
          <w:sz w:val="20"/>
          <w:szCs w:val="20"/>
        </w:rPr>
        <w:t xml:space="preserve">Modelo de negocio y cadena de valor</w:t>
      </w:r>
    </w:p>
    <w:p>
      <w:pPr>
        <w:spacing w:after="40"/>
        <w:ind w:left="340"/>
      </w:pPr>
      <w:r>
        <w:rPr>
          <w:color w:val="6F6A60"/>
          <w:sz w:val="20"/>
          <w:szCs w:val="20"/>
        </w:rPr>
        <w:t xml:space="preserve">13. </w:t>
      </w:r>
      <w:r>
        <w:rPr>
          <w:color w:val="1A1A1A"/>
          <w:sz w:val="20"/>
          <w:szCs w:val="20"/>
        </w:rPr>
        <w:t xml:space="preserve">Efectos sobre el modelo de negocio y la cadena de valor</w:t>
      </w:r>
    </w:p>
    <w:p>
      <w:pPr>
        <w:spacing w:after="100" w:before="240"/>
      </w:pPr>
      <w:r>
        <w:rPr>
          <w:b/>
          <w:bCs/>
          <w:color w:val="8A6D1B"/>
          <w:sz w:val="22"/>
          <w:szCs w:val="22"/>
        </w:rPr>
        <w:t xml:space="preserve">II · Gobernanza</w:t>
      </w:r>
    </w:p>
    <w:p>
      <w:pPr>
        <w:spacing w:after="40"/>
        <w:ind w:left="340"/>
      </w:pPr>
      <w:r>
        <w:rPr>
          <w:color w:val="6F6A60"/>
          <w:sz w:val="20"/>
          <w:szCs w:val="20"/>
        </w:rPr>
        <w:t xml:space="preserve">14. </w:t>
      </w:r>
      <w:r>
        <w:rPr>
          <w:color w:val="1A1A1A"/>
          <w:sz w:val="20"/>
          <w:szCs w:val="20"/>
        </w:rPr>
        <w:t xml:space="preserve">Introducción a la sección</w:t>
      </w:r>
    </w:p>
    <w:p>
      <w:pPr>
        <w:spacing w:after="40"/>
        <w:ind w:left="340"/>
      </w:pPr>
      <w:r>
        <w:rPr>
          <w:color w:val="6F6A60"/>
          <w:sz w:val="20"/>
          <w:szCs w:val="20"/>
        </w:rPr>
        <w:t xml:space="preserve">15. </w:t>
      </w:r>
      <w:r>
        <w:rPr>
          <w:color w:val="1A1A1A"/>
          <w:sz w:val="20"/>
          <w:szCs w:val="20"/>
        </w:rPr>
        <w:t xml:space="preserve">Roles y responsabilidades del órgano de gobierno</w:t>
      </w:r>
    </w:p>
    <w:p>
      <w:pPr>
        <w:spacing w:after="40"/>
        <w:ind w:left="340"/>
      </w:pPr>
      <w:r>
        <w:rPr>
          <w:color w:val="6F6A60"/>
          <w:sz w:val="20"/>
          <w:szCs w:val="20"/>
        </w:rPr>
        <w:t xml:space="preserve">16. </w:t>
      </w:r>
      <w:r>
        <w:rPr>
          <w:color w:val="1A1A1A"/>
          <w:sz w:val="20"/>
          <w:szCs w:val="20"/>
        </w:rPr>
        <w:t xml:space="preserve">Supervisión de la estrategia, objetivos y remuneración</w:t>
      </w:r>
    </w:p>
    <w:p>
      <w:pPr>
        <w:spacing w:after="40"/>
        <w:ind w:left="340"/>
      </w:pPr>
      <w:r>
        <w:rPr>
          <w:color w:val="6F6A60"/>
          <w:sz w:val="20"/>
          <w:szCs w:val="20"/>
        </w:rPr>
        <w:t xml:space="preserve">17. </w:t>
      </w:r>
      <w:r>
        <w:rPr>
          <w:color w:val="1A1A1A"/>
          <w:sz w:val="20"/>
          <w:szCs w:val="20"/>
        </w:rPr>
        <w:t xml:space="preserve">Papel de la gerencia y controles</w:t>
      </w:r>
    </w:p>
    <w:p>
      <w:pPr>
        <w:spacing w:after="40"/>
        <w:ind w:left="340"/>
      </w:pPr>
      <w:r>
        <w:rPr>
          <w:color w:val="6F6A60"/>
          <w:sz w:val="20"/>
          <w:szCs w:val="20"/>
        </w:rPr>
        <w:t xml:space="preserve">18. </w:t>
      </w:r>
      <w:r>
        <w:rPr>
          <w:color w:val="1A1A1A"/>
          <w:sz w:val="20"/>
          <w:szCs w:val="20"/>
        </w:rPr>
        <w:t xml:space="preserve">Estructura de gobierno corporativo y organigrama</w:t>
      </w:r>
    </w:p>
    <w:p>
      <w:pPr>
        <w:spacing w:after="100" w:before="240"/>
      </w:pPr>
      <w:r>
        <w:rPr>
          <w:b/>
          <w:bCs/>
          <w:color w:val="8A6D1B"/>
          <w:sz w:val="22"/>
          <w:szCs w:val="22"/>
        </w:rPr>
        <w:t xml:space="preserve">III · Estrategia</w:t>
      </w:r>
    </w:p>
    <w:p>
      <w:pPr>
        <w:spacing w:after="40"/>
        <w:ind w:left="340"/>
      </w:pPr>
      <w:r>
        <w:rPr>
          <w:color w:val="6F6A60"/>
          <w:sz w:val="20"/>
          <w:szCs w:val="20"/>
        </w:rPr>
        <w:t xml:space="preserve">19. </w:t>
      </w:r>
      <w:r>
        <w:rPr>
          <w:color w:val="1A1A1A"/>
          <w:sz w:val="20"/>
          <w:szCs w:val="20"/>
        </w:rPr>
        <w:t xml:space="preserve">Trayectoria en sostenibilidad y clima</w:t>
      </w:r>
    </w:p>
    <w:p>
      <w:pPr>
        <w:spacing w:after="40"/>
        <w:ind w:left="340"/>
      </w:pPr>
      <w:r>
        <w:rPr>
          <w:color w:val="6F6A60"/>
          <w:sz w:val="20"/>
          <w:szCs w:val="20"/>
        </w:rPr>
        <w:t xml:space="preserve">20. </w:t>
      </w:r>
      <w:r>
        <w:rPr>
          <w:color w:val="1A1A1A"/>
          <w:sz w:val="20"/>
          <w:szCs w:val="20"/>
        </w:rPr>
        <w:t xml:space="preserve">Contexto estratégico</w:t>
      </w:r>
    </w:p>
    <w:p>
      <w:pPr>
        <w:spacing w:after="40"/>
        <w:ind w:left="340"/>
      </w:pPr>
      <w:r>
        <w:rPr>
          <w:color w:val="6F6A60"/>
          <w:sz w:val="20"/>
          <w:szCs w:val="20"/>
        </w:rPr>
        <w:t xml:space="preserve">21. </w:t>
      </w:r>
      <w:r>
        <w:rPr>
          <w:color w:val="1A1A1A"/>
          <w:sz w:val="20"/>
          <w:szCs w:val="20"/>
        </w:rPr>
        <w:t xml:space="preserve">Riesgos climáticos prioritarios</w:t>
      </w:r>
    </w:p>
    <w:p>
      <w:pPr>
        <w:spacing w:after="40"/>
        <w:ind w:left="340"/>
      </w:pPr>
      <w:r>
        <w:rPr>
          <w:color w:val="6F6A60"/>
          <w:sz w:val="20"/>
          <w:szCs w:val="20"/>
        </w:rPr>
        <w:t xml:space="preserve">22. </w:t>
      </w:r>
      <w:r>
        <w:rPr>
          <w:color w:val="1A1A1A"/>
          <w:sz w:val="20"/>
          <w:szCs w:val="20"/>
        </w:rPr>
        <w:t xml:space="preserve">Cambios en modelo de negocio y asignación de recursos</w:t>
      </w:r>
    </w:p>
    <w:p>
      <w:pPr>
        <w:spacing w:after="40"/>
        <w:ind w:left="340"/>
      </w:pPr>
      <w:r>
        <w:rPr>
          <w:color w:val="6F6A60"/>
          <w:sz w:val="20"/>
          <w:szCs w:val="20"/>
        </w:rPr>
        <w:t xml:space="preserve">23. </w:t>
      </w:r>
      <w:r>
        <w:rPr>
          <w:color w:val="1A1A1A"/>
          <w:sz w:val="20"/>
          <w:szCs w:val="20"/>
        </w:rPr>
        <w:t xml:space="preserve">Esfuerzos directos e indirectos de reducción y adaptación</w:t>
      </w:r>
    </w:p>
    <w:p>
      <w:pPr>
        <w:spacing w:after="40"/>
        <w:ind w:left="340"/>
      </w:pPr>
      <w:r>
        <w:rPr>
          <w:color w:val="6F6A60"/>
          <w:sz w:val="20"/>
          <w:szCs w:val="20"/>
        </w:rPr>
        <w:t xml:space="preserve">24. </w:t>
      </w:r>
      <w:r>
        <w:rPr>
          <w:color w:val="1A1A1A"/>
          <w:sz w:val="20"/>
          <w:szCs w:val="20"/>
        </w:rPr>
        <w:t xml:space="preserve">Oportunidades y cómo prevé alcanzar objetivos</w:t>
      </w:r>
    </w:p>
    <w:p>
      <w:pPr>
        <w:spacing w:after="40"/>
        <w:ind w:left="340"/>
      </w:pPr>
      <w:r>
        <w:rPr>
          <w:color w:val="6F6A60"/>
          <w:sz w:val="20"/>
          <w:szCs w:val="20"/>
        </w:rPr>
        <w:t xml:space="preserve">25. </w:t>
      </w:r>
      <w:r>
        <w:rPr>
          <w:color w:val="1A1A1A"/>
          <w:sz w:val="20"/>
          <w:szCs w:val="20"/>
        </w:rPr>
        <w:t xml:space="preserve">Recursos asignados y progreso de planes</w:t>
      </w:r>
    </w:p>
    <w:p>
      <w:pPr>
        <w:spacing w:after="40"/>
        <w:ind w:left="340"/>
      </w:pPr>
      <w:r>
        <w:rPr>
          <w:color w:val="6F6A60"/>
          <w:sz w:val="20"/>
          <w:szCs w:val="20"/>
        </w:rPr>
        <w:t xml:space="preserve">26. </w:t>
      </w:r>
      <w:r>
        <w:rPr>
          <w:color w:val="1A1A1A"/>
          <w:sz w:val="20"/>
          <w:szCs w:val="20"/>
        </w:rPr>
        <w:t xml:space="preserve">Resiliencia de la estrategia y análisis de escenarios</w:t>
      </w:r>
    </w:p>
    <w:p>
      <w:pPr>
        <w:spacing w:after="100" w:before="240"/>
      </w:pPr>
      <w:r>
        <w:rPr>
          <w:b/>
          <w:bCs/>
          <w:color w:val="8A6D1B"/>
          <w:sz w:val="22"/>
          <w:szCs w:val="22"/>
        </w:rPr>
        <w:t xml:space="preserve">IV · Riesgos</w:t>
      </w:r>
    </w:p>
    <w:p>
      <w:pPr>
        <w:spacing w:after="40"/>
        <w:ind w:left="340"/>
      </w:pPr>
      <w:r>
        <w:rPr>
          <w:color w:val="6F6A60"/>
          <w:sz w:val="20"/>
          <w:szCs w:val="20"/>
        </w:rPr>
        <w:t xml:space="preserve">27. </w:t>
      </w:r>
      <w:r>
        <w:rPr>
          <w:color w:val="1A1A1A"/>
          <w:sz w:val="20"/>
          <w:szCs w:val="20"/>
        </w:rPr>
        <w:t xml:space="preserve">Gestión y mitigación de riesgos y oportunidades</w:t>
      </w:r>
    </w:p>
    <w:p>
      <w:pPr>
        <w:spacing w:after="40"/>
        <w:ind w:left="340"/>
      </w:pPr>
      <w:r>
        <w:rPr>
          <w:color w:val="6F6A60"/>
          <w:sz w:val="20"/>
          <w:szCs w:val="20"/>
        </w:rPr>
        <w:t xml:space="preserve">28. </w:t>
      </w:r>
      <w:r>
        <w:rPr>
          <w:color w:val="1A1A1A"/>
          <w:sz w:val="20"/>
          <w:szCs w:val="20"/>
        </w:rPr>
        <w:t xml:space="preserve">Plan de transición</w:t>
      </w:r>
    </w:p>
    <w:p>
      <w:pPr>
        <w:spacing w:after="100" w:before="240"/>
      </w:pPr>
      <w:r>
        <w:rPr>
          <w:b/>
          <w:bCs/>
          <w:color w:val="8A6D1B"/>
          <w:sz w:val="22"/>
          <w:szCs w:val="22"/>
        </w:rPr>
        <w:t xml:space="preserve">V · Métricas y objetivos</w:t>
      </w:r>
    </w:p>
    <w:p>
      <w:pPr>
        <w:spacing w:after="40"/>
        <w:ind w:left="340"/>
      </w:pPr>
      <w:r>
        <w:rPr>
          <w:color w:val="6F6A60"/>
          <w:sz w:val="20"/>
          <w:szCs w:val="20"/>
        </w:rPr>
        <w:t xml:space="preserve">29. </w:t>
      </w:r>
      <w:r>
        <w:rPr>
          <w:color w:val="1A1A1A"/>
          <w:sz w:val="20"/>
          <w:szCs w:val="20"/>
        </w:rPr>
        <w:t xml:space="preserve">Emisiones GEI Alcance 1 y 2 (+ Alcance 3 según régimen)</w:t>
      </w:r>
    </w:p>
    <w:p>
      <w:pPr>
        <w:spacing w:after="40"/>
        <w:ind w:left="340"/>
      </w:pPr>
      <w:r>
        <w:rPr>
          <w:color w:val="6F6A60"/>
          <w:sz w:val="20"/>
          <w:szCs w:val="20"/>
        </w:rPr>
        <w:t xml:space="preserve">30. </w:t>
      </w:r>
      <w:r>
        <w:rPr>
          <w:color w:val="1A1A1A"/>
          <w:sz w:val="20"/>
          <w:szCs w:val="20"/>
        </w:rPr>
        <w:t xml:space="preserve">Método de medición, datos de entrada y C5</w:t>
      </w:r>
    </w:p>
    <w:p>
      <w:pPr>
        <w:spacing w:after="40"/>
        <w:ind w:left="340"/>
      </w:pPr>
      <w:r>
        <w:rPr>
          <w:color w:val="6F6A60"/>
          <w:sz w:val="20"/>
          <w:szCs w:val="20"/>
        </w:rPr>
        <w:t xml:space="preserve">31. </w:t>
      </w:r>
      <w:r>
        <w:rPr>
          <w:color w:val="1A1A1A"/>
          <w:sz w:val="20"/>
          <w:szCs w:val="20"/>
        </w:rPr>
        <w:t xml:space="preserve">Razones del enfoque y desagregación</w:t>
      </w:r>
    </w:p>
    <w:p>
      <w:pPr>
        <w:spacing w:after="40"/>
        <w:ind w:left="340"/>
      </w:pPr>
      <w:r>
        <w:rPr>
          <w:color w:val="6F6A60"/>
          <w:sz w:val="20"/>
          <w:szCs w:val="20"/>
        </w:rPr>
        <w:t xml:space="preserve">32. </w:t>
      </w:r>
      <w:r>
        <w:rPr>
          <w:color w:val="1A1A1A"/>
          <w:sz w:val="20"/>
          <w:szCs w:val="20"/>
        </w:rPr>
        <w:t xml:space="preserve">Alcance 2 por ubicación e instrumentos contractuales</w:t>
      </w:r>
    </w:p>
    <w:p>
      <w:pPr>
        <w:spacing w:after="40"/>
        <w:ind w:left="340"/>
      </w:pPr>
      <w:r>
        <w:rPr>
          <w:color w:val="6F6A60"/>
          <w:sz w:val="20"/>
          <w:szCs w:val="20"/>
        </w:rPr>
        <w:t xml:space="preserve">34. </w:t>
      </w:r>
      <w:r>
        <w:rPr>
          <w:color w:val="1A1A1A"/>
          <w:sz w:val="20"/>
          <w:szCs w:val="20"/>
        </w:rPr>
        <w:t xml:space="preserve">Riesgos de transición: concentración, exposición y capital</w:t>
      </w:r>
    </w:p>
    <w:p>
      <w:pPr>
        <w:spacing w:after="40"/>
        <w:ind w:left="340"/>
      </w:pPr>
      <w:r>
        <w:rPr>
          <w:color w:val="6F6A60"/>
          <w:sz w:val="20"/>
          <w:szCs w:val="20"/>
        </w:rPr>
        <w:t xml:space="preserve">35. </w:t>
      </w:r>
      <w:r>
        <w:rPr>
          <w:color w:val="1A1A1A"/>
          <w:sz w:val="20"/>
          <w:szCs w:val="20"/>
        </w:rPr>
        <w:t xml:space="preserve">Riesgos físicos: exposición y gráfica</w:t>
      </w:r>
    </w:p>
    <w:p>
      <w:pPr>
        <w:spacing w:after="40"/>
        <w:ind w:left="340"/>
      </w:pPr>
      <w:r>
        <w:rPr>
          <w:color w:val="6F6A60"/>
          <w:sz w:val="20"/>
          <w:szCs w:val="20"/>
        </w:rPr>
        <w:t xml:space="preserve">36. </w:t>
      </w:r>
      <w:r>
        <w:rPr>
          <w:color w:val="1A1A1A"/>
          <w:sz w:val="20"/>
          <w:szCs w:val="20"/>
        </w:rPr>
        <w:t xml:space="preserve">Oportunidades: alineación y capital</w:t>
      </w:r>
    </w:p>
    <w:p>
      <w:pPr>
        <w:spacing w:after="40"/>
        <w:ind w:left="340"/>
      </w:pPr>
      <w:r>
        <w:rPr>
          <w:color w:val="6F6A60"/>
          <w:sz w:val="20"/>
          <w:szCs w:val="20"/>
        </w:rPr>
        <w:t xml:space="preserve">37. </w:t>
      </w:r>
      <w:r>
        <w:rPr>
          <w:color w:val="1A1A1A"/>
          <w:sz w:val="20"/>
          <w:szCs w:val="20"/>
        </w:rPr>
        <w:t xml:space="preserve">Precio interno del carbono y remuneración vinculada</w:t>
      </w:r>
    </w:p>
    <w:p>
      <w:pPr>
        <w:spacing w:after="40"/>
        <w:ind w:left="340"/>
      </w:pPr>
      <w:r>
        <w:rPr>
          <w:color w:val="6F6A60"/>
          <w:sz w:val="20"/>
          <w:szCs w:val="20"/>
        </w:rPr>
        <w:t xml:space="preserve">38. </w:t>
      </w:r>
      <w:r>
        <w:rPr>
          <w:color w:val="1A1A1A"/>
          <w:sz w:val="20"/>
          <w:szCs w:val="20"/>
        </w:rPr>
        <w:t xml:space="preserve">Objetivos climáticos (atributos por objetivo)</w:t>
      </w:r>
    </w:p>
    <w:p>
      <w:pPr>
        <w:spacing w:after="40"/>
        <w:ind w:left="340"/>
      </w:pPr>
      <w:r>
        <w:rPr>
          <w:color w:val="6F6A60"/>
          <w:sz w:val="20"/>
          <w:szCs w:val="20"/>
        </w:rPr>
        <w:t xml:space="preserve">39. </w:t>
      </w:r>
      <w:r>
        <w:rPr>
          <w:color w:val="1A1A1A"/>
          <w:sz w:val="20"/>
          <w:szCs w:val="20"/>
        </w:rPr>
        <w:t xml:space="preserve">Enfoque para establecer y revisar objetivos; resultados</w:t>
      </w:r>
    </w:p>
    <w:p>
      <w:pPr>
        <w:spacing w:after="40"/>
        <w:ind w:left="340"/>
      </w:pPr>
      <w:r>
        <w:rPr>
          <w:color w:val="6F6A60"/>
          <w:sz w:val="20"/>
          <w:szCs w:val="20"/>
        </w:rPr>
        <w:t xml:space="preserve">40. </w:t>
      </w:r>
      <w:r>
        <w:rPr>
          <w:color w:val="1A1A1A"/>
          <w:sz w:val="20"/>
          <w:szCs w:val="20"/>
        </w:rPr>
        <w:t xml:space="preserve">Objetivo de emisiones GEI</w:t>
      </w:r>
    </w:p>
    <w:p>
      <w:r>
        <w:br w:type="page"/>
      </w:r>
    </w:p>
    <w:p>
      <w:pPr>
        <w:pStyle w:val="Heading1"/>
        <w:spacing w:after="240" w:before="240"/>
      </w:pPr>
      <w:r>
        <w:rPr>
          <w:b/>
          <w:bCs/>
          <w:color w:val="14302A"/>
          <w:sz w:val="34"/>
          <w:szCs w:val="34"/>
        </w:rPr>
        <w:t xml:space="preserve">I · Introducción</w:t>
      </w:r>
    </w:p>
    <w:p>
      <w:pPr>
        <w:pStyle w:val="Heading2"/>
        <w:spacing w:after="60" w:before="360"/>
      </w:pPr>
      <w:r>
        <w:rPr>
          <w:b/>
          <w:bCs/>
          <w:color w:val="14302A"/>
          <w:sz w:val="26"/>
          <w:szCs w:val="26"/>
        </w:rPr>
        <w:t xml:space="preserve">Carta de la Dirección</w:t>
      </w:r>
    </w:p>
    <w:p>
      <w:pPr>
        <w:spacing w:after="140" w:line="300"/>
        <w:jc w:val="both"/>
      </w:pPr>
      <w:r>
        <w:rPr>
          <w:b w:val="false"/>
          <w:bCs w:val="false"/>
          <w:color w:val="1A1A1A"/>
          <w:sz w:val="22"/>
          <w:szCs w:val="22"/>
        </w:rPr>
        <w:t xml:space="preserve">Empresa Demo, S.A.B. de C.V. presenta su primer informe preparado conforme a las Normas NIIF S1 y S2, correspondiente al ejercicio 2025. Para una institución financiera, el cambio climático no es únicamente un asunto de huella operativa: es un factor que incide en la calidad de la cartera de crédito, en el valor de los colaterales que respaldan los financiamientos otorgados y en las expectativas de los inversionistas que financian el crecimiento de la Compañía. Por esa razón, la información que aquí se revela se concibe como parte de la información financiera con propósito general y no como un ejercicio aislado.</w:t>
      </w:r>
    </w:p>
    <w:p>
      <w:pPr>
        <w:spacing w:after="140" w:line="300"/>
        <w:jc w:val="both"/>
      </w:pPr>
      <w:r>
        <w:rPr>
          <w:b w:val="false"/>
          <w:bCs w:val="false"/>
          <w:color w:val="1A1A1A"/>
          <w:sz w:val="22"/>
          <w:szCs w:val="22"/>
        </w:rPr>
        <w:t xml:space="preserve">Durante 2025 la Compañía amplió la gobernanza de los riesgos y oportunidades relacionados con el clima con la creación del Comité de Sostenibilidad y Riesgos Climáticos. En el mismo periodo integró criterios climáticos en la evaluación de crédito para los sectores de mayor exposición y concluyó la primera evaluación de riesgos físicos sobre su red de sucursales y sobre las carteras agropecuaria e inmobiliaria. Estas acciones constituyen el punto de partida sobre el cual se organiza la gestión climática que se describe en las secciones de gobernanza, estrategia y gestión de riesgos de este informe.</w:t>
      </w:r>
    </w:p>
    <w:p>
      <w:pPr>
        <w:spacing w:after="140" w:line="300"/>
        <w:jc w:val="both"/>
      </w:pPr>
      <w:r>
        <w:rPr>
          <w:b w:val="false"/>
          <w:bCs w:val="false"/>
          <w:color w:val="1A1A1A"/>
          <w:sz w:val="22"/>
          <w:szCs w:val="22"/>
        </w:rPr>
        <w:t xml:space="preserve">Este informe es una línea base. La Compañía reconoce que la medición de emisiones financiadas, la cuantificación de los efectos financieros de los riesgos y oportunidades relacionados con el clima sobre su situación financiera, rendimiento financiero y flujos de efectivo, y la comparabilidad entre ejercicios son tareas que se irán completando en los periodos subsecuentes. En ese proceso, la Compañía se propone informar con transparencia tanto los avances como las limitaciones de la información que revela.</w:t>
      </w:r>
    </w:p>
    <w:p>
      <w:pPr>
        <w:spacing w:after="140" w:line="300"/>
        <w:jc w:val="both"/>
      </w:pPr>
      <w:r>
        <w:rPr>
          <w:b w:val="false"/>
          <w:bCs w:val="false"/>
          <w:color w:val="1A1A1A"/>
          <w:sz w:val="22"/>
          <w:szCs w:val="22"/>
        </w:rPr>
        <w:t xml:space="preserve">Andrés Villaseñor Ruiz</w:t>
      </w:r>
    </w:p>
    <w:p>
      <w:pPr>
        <w:spacing w:after="140" w:line="300"/>
        <w:jc w:val="both"/>
      </w:pPr>
      <w:r>
        <w:rPr>
          <w:b w:val="false"/>
          <w:bCs w:val="false"/>
          <w:color w:val="1A1A1A"/>
          <w:sz w:val="22"/>
          <w:szCs w:val="22"/>
        </w:rPr>
        <w:t xml:space="preserve">Director General</w:t>
      </w:r>
    </w:p>
    <w:p>
      <w:pPr>
        <w:pStyle w:val="Heading2"/>
        <w:spacing w:after="60" w:before="360"/>
      </w:pPr>
      <w:r>
        <w:rPr>
          <w:b/>
          <w:bCs/>
          <w:color w:val="14302A"/>
          <w:sz w:val="26"/>
          <w:szCs w:val="26"/>
        </w:rPr>
        <w:t xml:space="preserve">Presentación del informe (adopción, CNBV)</w:t>
      </w:r>
    </w:p>
    <w:p>
      <w:pPr>
        <w:spacing w:after="140" w:line="300"/>
        <w:jc w:val="both"/>
      </w:pPr>
      <w:r>
        <w:rPr>
          <w:b w:val="false"/>
          <w:bCs w:val="false"/>
          <w:color w:val="1A1A1A"/>
          <w:sz w:val="22"/>
          <w:szCs w:val="22"/>
        </w:rPr>
        <w:t xml:space="preserve">Empresa Demo, S.A.B. de C.V. (en adelante, la Compañía) presenta la información a revelar relacionada con la sostenibilidad y con el clima correspondiente al ejercicio 2025, preparada de conformidad con las Normas NIIF S1 y NIIF S2 emitidas por el Consejo de Normas Internacionales de Sostenibilidad.</w:t>
      </w:r>
    </w:p>
    <w:p>
      <w:pPr>
        <w:spacing w:after="140" w:line="300"/>
        <w:jc w:val="both"/>
      </w:pPr>
      <w:r>
        <w:rPr>
          <w:b w:val="false"/>
          <w:bCs w:val="false"/>
          <w:color w:val="1A1A1A"/>
          <w:sz w:val="22"/>
          <w:szCs w:val="22"/>
        </w:rPr>
        <w:t xml:space="preserve">Esta información se presenta como parte del informe anual y acompaña a los estados financieros del mismo periodo, conforme a lo previsto por la regulación aplicable a las emisoras inscritas en el Registro Nacional de Valores.</w:t>
      </w:r>
    </w:p>
    <w:p>
      <w:pPr>
        <w:pStyle w:val="Heading2"/>
        <w:spacing w:after="60" w:before="360"/>
      </w:pPr>
      <w:r>
        <w:rPr>
          <w:b/>
          <w:bCs/>
          <w:color w:val="14302A"/>
          <w:sz w:val="26"/>
          <w:szCs w:val="26"/>
        </w:rPr>
        <w:t xml:space="preserve">Bases de preparación: marco y alivios transitorios</w:t>
      </w:r>
    </w:p>
    <w:p>
      <w:pPr>
        <w:spacing w:after="140" w:line="300"/>
        <w:jc w:val="both"/>
      </w:pPr>
      <w:r>
        <w:rPr>
          <w:b w:val="false"/>
          <w:bCs w:val="false"/>
          <w:color w:val="1A1A1A"/>
          <w:sz w:val="22"/>
          <w:szCs w:val="22"/>
        </w:rPr>
        <w:t xml:space="preserve">La información a revelar se prepara de conformidad con la NIIF S1 Requerimientos Generales para la Información Financiera a Revelar relacionada con la Sostenibilidad y con la NIIF S2 Información a Revelar relacionada con el Clima.</w:t>
      </w:r>
    </w:p>
    <w:p>
      <w:pPr>
        <w:spacing w:after="140" w:line="300"/>
        <w:jc w:val="both"/>
      </w:pPr>
      <w:r>
        <w:rPr>
          <w:b w:val="false"/>
          <w:bCs w:val="false"/>
          <w:color w:val="1A1A1A"/>
          <w:sz w:val="22"/>
          <w:szCs w:val="22"/>
        </w:rPr>
        <w:t xml:space="preserve">El ejercicio 2025 es el primer periodo anual sobre el que la Compañía informa de conformidad con las Normas NIIF S1 y NIIF S2.</w:t>
      </w:r>
    </w:p>
    <w:p>
      <w:pPr>
        <w:spacing w:after="140" w:line="300"/>
        <w:jc w:val="both"/>
      </w:pPr>
      <w:r>
        <w:rPr>
          <w:b w:val="false"/>
          <w:bCs w:val="false"/>
          <w:color w:val="1A1A1A"/>
          <w:sz w:val="22"/>
          <w:szCs w:val="22"/>
        </w:rPr>
        <w:t xml:space="preserve">La Entidad se acoge a las medidas transitorias previstas en el párrafo E4, el párrafo E5, el párrafo C3 y el párrafo C4, cuyos efectos sobre la información presentada se describen en el apartado correspondiente de cada sección.</w:t>
      </w:r>
    </w:p>
    <w:p>
      <w:pPr>
        <w:pStyle w:val="Heading2"/>
        <w:spacing w:after="60" w:before="360"/>
      </w:pPr>
      <w:r>
        <w:rPr>
          <w:b/>
          <w:bCs/>
          <w:color w:val="14302A"/>
          <w:sz w:val="26"/>
          <w:szCs w:val="26"/>
        </w:rPr>
        <w:t xml:space="preserve">Entidad que informa, periodo y conectividad</w:t>
      </w:r>
    </w:p>
    <w:p>
      <w:pPr>
        <w:spacing w:after="180"/>
      </w:pPr>
      <w:r>
        <w:rPr>
          <w:color w:val="8A6D1B"/>
          <w:sz w:val="16"/>
          <w:szCs w:val="16"/>
        </w:rPr>
        <w:t xml:space="preserve">NIIF S2 32</w:t>
      </w:r>
    </w:p>
    <w:p>
      <w:pPr>
        <w:spacing w:after="140" w:line="300"/>
        <w:jc w:val="both"/>
      </w:pPr>
      <w:r>
        <w:rPr>
          <w:b w:val="false"/>
          <w:bCs w:val="false"/>
          <w:color w:val="1A1A1A"/>
          <w:sz w:val="22"/>
          <w:szCs w:val="22"/>
        </w:rPr>
        <w:t xml:space="preserve">Empresa Demo, S.A.B. de C.V. presenta la información a revelar relacionada con el clima correspondiente al ejercicio 2025, concluido el 31 de diciembre de 2025. La entidad que informa comprende a la Compañía y a sus subsidiarias consolidadas: Banco Demo, S.A., Institución de Banca Múltiple; Arrendadora Demo, S.A. de C.V., SOFOM E.R.; y Factoraje Demo, S.A. de C.V. El perímetro abarca la totalidad de las operaciones consolidadas en México, integradas por 118 sucursales bancarias, tres centros operativos ubicados en Monterrey, Ciudad de México y Mérida, y el corporativo. Las participaciones minoritarias no consolidadas se excluyen. Las métricas de emisiones de gases de efecto invernadero comprenden las operaciones propias, Alcances 1 y 2, mientras que las emisiones financiadas se difieren conforme al alivio del párrafo C4 de la NIIF S2 aplicable al primer ejercicio de adopción.</w:t>
      </w:r>
    </w:p>
    <w:p>
      <w:pPr>
        <w:spacing w:after="140" w:line="300"/>
        <w:jc w:val="both"/>
      </w:pPr>
      <w:r>
        <w:rPr>
          <w:b w:val="false"/>
          <w:bCs w:val="false"/>
          <w:color w:val="1A1A1A"/>
          <w:sz w:val="22"/>
          <w:szCs w:val="22"/>
        </w:rPr>
        <w:t xml:space="preserve">La Compañía pertenece al sector de bancos comerciales conforme a la clasificación SASB y evaluó la aplicabilidad de las métricas de ese sector a su modelo de negocio, revelando aquellas para las que dispone de información con la calidad requerida: la composición de la cartera por sector económico, la proporción de cartera sostenible y la exposición a sectores intensivos en carbono. Al 31 de diciembre de 2025 la cartera de crédito total ascendió a 86,400 millones de pesos, distribuida en crédito empresarial por 44,930 millones de pesos (52%), hipotecario por 18,140 millones de pesos (21%), consumo por 12,960 millones de pesos (15%) y agropecuario por 10,370 millones de pesos (12%). La cartera con etiqueta sostenible conforme a la Taxonomía Sostenible de México ascendió a 6,910 millones de pesos, equivalente al 8.0% de la cartera total. Dentro del crédito empresarial, 8,090 millones de pesos, el 9.4% de la cartera total, corresponden a sectores intensivos en carbono. La exposición de la cartera a riesgos climáticos se presenta en términos cualitativos y su cuantificación en términos de emisiones se incorporará en ejercicios subsecuentes. Las métricas restantes del sector se evaluarán conforme la Compañía disponga de información fiable, y esa evaluación se describe como juicio significativo en las bases de preparación de este informe.</w:t>
      </w:r>
    </w:p>
    <w:p>
      <w:pPr>
        <w:pStyle w:val="Heading2"/>
        <w:spacing w:after="60" w:before="360"/>
      </w:pPr>
      <w:r>
        <w:rPr>
          <w:b/>
          <w:bCs/>
          <w:color w:val="14302A"/>
          <w:sz w:val="26"/>
          <w:szCs w:val="26"/>
        </w:rPr>
        <w:t xml:space="preserve">Conexiones y referencias cruzadas</w:t>
      </w:r>
    </w:p>
    <w:p>
      <w:pPr>
        <w:spacing w:after="140" w:line="300"/>
        <w:jc w:val="both"/>
      </w:pPr>
      <w:r>
        <w:rPr>
          <w:b w:val="false"/>
          <w:bCs w:val="false"/>
          <w:color w:val="1A1A1A"/>
          <w:sz w:val="22"/>
          <w:szCs w:val="22"/>
        </w:rPr>
        <w:t xml:space="preserve">La información a revelar sobre sostenibilidad y clima se presenta de forma conectada con los estados financieros del mismo periodo: emplea, en la medida de lo posible, los mismos datos y supuestos, y se refiere al mismo periodo sobre el que se informa y a la misma entidad que informa.</w:t>
      </w:r>
    </w:p>
    <w:p>
      <w:pPr>
        <w:spacing w:after="140" w:line="300"/>
        <w:jc w:val="both"/>
      </w:pPr>
      <w:r>
        <w:rPr>
          <w:b w:val="false"/>
          <w:bCs w:val="false"/>
          <w:color w:val="1A1A1A"/>
          <w:sz w:val="22"/>
          <w:szCs w:val="22"/>
        </w:rPr>
        <w:t xml:space="preserve">Cuando una cifra revelada en esta sección guarda relación con un importe reconocido o revelado en los estados financieros, la relación se indica en el apartado que la contiene.</w:t>
      </w:r>
    </w:p>
    <w:p>
      <w:pPr>
        <w:pStyle w:val="Heading2"/>
        <w:spacing w:after="60" w:before="360"/>
      </w:pPr>
      <w:r>
        <w:rPr>
          <w:b/>
          <w:bCs/>
          <w:color w:val="14302A"/>
          <w:sz w:val="26"/>
          <w:szCs w:val="26"/>
        </w:rPr>
        <w:t xml:space="preserve">Juicios, supuestos e incertidumbres</w:t>
      </w:r>
    </w:p>
    <w:p>
      <w:pPr>
        <w:spacing w:after="180"/>
      </w:pPr>
      <w:r>
        <w:rPr>
          <w:color w:val="8A6D1B"/>
          <w:sz w:val="16"/>
          <w:szCs w:val="16"/>
        </w:rPr>
        <w:t xml:space="preserve">NIIF S1 74</w:t>
      </w:r>
    </w:p>
    <w:p>
      <w:pPr>
        <w:spacing w:after="140" w:line="300"/>
        <w:jc w:val="both"/>
      </w:pPr>
      <w:r>
        <w:rPr>
          <w:b w:val="false"/>
          <w:bCs w:val="false"/>
          <w:color w:val="1A1A1A"/>
          <w:sz w:val="22"/>
          <w:szCs w:val="22"/>
        </w:rPr>
        <w:t xml:space="preserve">En la preparación de la información a revelar sobre riesgos y oportunidades relacionados con el clima correspondiente al ejercicio 2025, Empresa Demo, S.A.B. de C.V. realizó juicios que, sin implicar por sí mismos estimaciones de importes, tienen el efecto más significativo sobre la información contenida en este informe.</w:t>
      </w:r>
    </w:p>
    <w:p>
      <w:pPr>
        <w:spacing w:after="140" w:line="300"/>
        <w:jc w:val="both"/>
      </w:pPr>
      <w:r>
        <w:rPr>
          <w:b w:val="false"/>
          <w:bCs w:val="false"/>
          <w:color w:val="1A1A1A"/>
          <w:sz w:val="22"/>
          <w:szCs w:val="22"/>
        </w:rPr>
        <w:t xml:space="preserve">El primero de esos juicios fue la delimitación del perímetro. La Compañía consideró sus operaciones propias como el perímetro para la medición de emisiones de gases de efecto invernadero, mientras que la cartera de crédito se trató como una exposición de carácter cualitativo. El segundo juicio consistió en la clasificación de los sectores económicos presentes en la cartera según su intensidad de carbono. El tercer juicio fue la elección de los escenarios climáticos empleados en el análisis.</w:t>
      </w:r>
    </w:p>
    <w:p>
      <w:pPr>
        <w:spacing w:after="140" w:line="300"/>
        <w:jc w:val="both"/>
      </w:pPr>
      <w:r>
        <w:rPr>
          <w:b w:val="false"/>
          <w:bCs w:val="false"/>
          <w:color w:val="1A1A1A"/>
          <w:sz w:val="22"/>
          <w:szCs w:val="22"/>
        </w:rPr>
        <w:t xml:space="preserve">Por separado de esos juicios, la Compañía identifica fuentes de incertidumbre en la medición. La primera es la calidad de los datos proporcionados por los acreditados, de la que depende la caracterización de la cartera. La segunda es la estimación de las emisiones de Alcance 2 a partir de la facturación: en 14 sucursales arrendadas cuyo contrato incluye el servicio de energía no existe medición directa del consumo, por lo que las emisiones atribuibles a esos inmuebles se estiman. La tercera es la estimación de la exposición de los colaterales con base en su código postal, que aproxima la ubicación del bien sin identificar su localización exacta.</w:t>
      </w:r>
    </w:p>
    <w:p>
      <w:pPr>
        <w:spacing w:after="140" w:line="300"/>
        <w:jc w:val="both"/>
      </w:pPr>
      <w:r>
        <w:rPr>
          <w:b w:val="false"/>
          <w:bCs w:val="false"/>
          <w:color w:val="1A1A1A"/>
          <w:sz w:val="22"/>
          <w:szCs w:val="22"/>
        </w:rPr>
        <w:t xml:space="preserve">La Compañía revisará estos juicios y estimaciones en periodos subsecuentes conforme disponga de datos de mayor precisión.</w:t>
      </w:r>
    </w:p>
    <w:p>
      <w:pPr>
        <w:pStyle w:val="Heading2"/>
        <w:spacing w:after="60" w:before="360"/>
      </w:pPr>
      <w:r>
        <w:rPr>
          <w:b/>
          <w:bCs/>
          <w:color w:val="14302A"/>
          <w:sz w:val="26"/>
          <w:szCs w:val="26"/>
        </w:rPr>
        <w:t xml:space="preserve">Materialidad: contexto y proceso</w:t>
      </w:r>
    </w:p>
    <w:p>
      <w:pPr>
        <w:spacing w:after="140" w:line="300"/>
        <w:jc w:val="both"/>
      </w:pPr>
      <w:r>
        <w:rPr>
          <w:b w:val="false"/>
          <w:bCs w:val="false"/>
          <w:color w:val="1A1A1A"/>
          <w:sz w:val="22"/>
          <w:szCs w:val="22"/>
        </w:rPr>
        <w:t xml:space="preserve">Empresa Demo, S.A.B. de C.V. determina la información a revelar sobre riesgos y oportunidades relacionados con el clima aplicando el criterio de materialidad financiera de la NIIF S1. Bajo ese criterio, la Compañía considera material la información sobre aquellos riesgos y oportunidades cuyo efecto pueda razonablemente preverse sobre su situación financiera, rendimiento financiero y flujos de efectivo, así como sobre su acceso a financiamiento y su costo de capital, y que por ello pueda influir en las decisiones de los usuarios de los informes financieros con propósito general.</w:t>
      </w:r>
    </w:p>
    <w:p>
      <w:pPr>
        <w:spacing w:after="140" w:line="300"/>
        <w:jc w:val="both"/>
      </w:pPr>
      <w:r>
        <w:rPr>
          <w:b w:val="false"/>
          <w:bCs w:val="false"/>
          <w:color w:val="1A1A1A"/>
          <w:sz w:val="22"/>
          <w:szCs w:val="22"/>
        </w:rPr>
        <w:t xml:space="preserve">Durante 2025 la Compañía llevó a cabo una evaluación de sus riesgos y oportunidades relacionados con el clima orientada a identificar aquellos que reúnen esa condición. La evaluación combinó tres fuentes de análisis. La primera fue el análisis de exposición física de la red de sucursales y de los colaterales, realizado con datos del Atlas Nacional de Riesgos del Centro Nacional de Prevención de Desastres (CENAPRED). La segunda fue el análisis de sensibilidad de la cartera por sector económico ante la introducción de un precio al carbono y ante cambios regulatorios asociados a la transición climática. La tercera consistió en entrevistas con las direcciones de Riesgos, Crédito, Tesorería y Finanzas, áreas que participan en la gestión de los riesgos evaluados.</w:t>
      </w:r>
    </w:p>
    <w:p>
      <w:pPr>
        <w:spacing w:after="140" w:line="300"/>
        <w:jc w:val="both"/>
      </w:pPr>
      <w:r>
        <w:rPr>
          <w:b w:val="false"/>
          <w:bCs w:val="false"/>
          <w:color w:val="1A1A1A"/>
          <w:sz w:val="22"/>
          <w:szCs w:val="22"/>
        </w:rPr>
        <w:t xml:space="preserve">Como apoyo metodológico para la identificación y evaluación de riesgos, la Compañía utilizó el marco COSO (2017) y la norma ISO 31000. Estos marcos sirvieron de referencia para estructurar el proceso, sin sustituir el análisis de materialidad requerido por la NIIF S1 ni el juicio de la Compañía sobre qué información resulta relevante para los usuarios de sus informes.</w:t>
      </w:r>
    </w:p>
    <w:p>
      <w:pPr>
        <w:spacing w:after="140" w:line="300"/>
        <w:jc w:val="both"/>
      </w:pPr>
      <w:r>
        <w:rPr>
          <w:b w:val="false"/>
          <w:bCs w:val="false"/>
          <w:color w:val="1A1A1A"/>
          <w:sz w:val="22"/>
          <w:szCs w:val="22"/>
        </w:rPr>
        <w:t xml:space="preserve">Los riesgos y oportunidades relacionados con el clima que la Compañía identificó como materiales mediante este proceso, su priorización y sus efectos financieros actuales y previstos se describen en las secciones correspondientes de este informe.</w:t>
      </w:r>
    </w:p>
    <w:p>
      <w:pPr>
        <w:pStyle w:val="Heading2"/>
        <w:spacing w:after="60" w:before="360"/>
      </w:pPr>
      <w:r>
        <w:rPr>
          <w:b/>
          <w:bCs/>
          <w:color w:val="14302A"/>
          <w:sz w:val="26"/>
          <w:szCs w:val="26"/>
        </w:rPr>
        <w:t xml:space="preserve">Horizontes temporales</w:t>
      </w:r>
    </w:p>
    <w:p>
      <w:pPr>
        <w:spacing w:after="100" w:before="160"/>
      </w:pPr>
      <w:r>
        <w:rPr>
          <w:b/>
          <w:bCs/>
          <w:color w:val="14302A"/>
          <w:sz w:val="22"/>
          <w:szCs w:val="22"/>
        </w:rPr>
        <w:t xml:space="preserve">Horizontes temporales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Plazo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Definición</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Por qué se eligió</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Corto plazo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Hasta 1 año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Ciclo presupuestal anual, liquidez y contingencias operativas de la red de sucursales.</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Mediano plazo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Más de 1 año y hasta 5 años</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Vida promedio de la cartera comercial y de arrendamiento; horizonte del plan estratégico.</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Largo plazo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Más de 5 años</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Vida de la cartera hipotecaria, resiliencia de infraestructura propia y trayectorias regulatorias y físicas del clima.</w:t>
            </w:r>
          </w:p>
        </w:tc>
      </w:tr>
    </w:tbl>
    <w:p>
      <w:pPr>
        <w:spacing w:after="200"/>
      </w:pPr>
    </w:p>
    <w:p>
      <w:pPr>
        <w:spacing w:after="140" w:line="300"/>
        <w:jc w:val="both"/>
      </w:pPr>
      <w:r>
        <w:rPr>
          <w:b w:val="false"/>
          <w:bCs w:val="false"/>
          <w:color w:val="1A1A1A"/>
          <w:sz w:val="22"/>
          <w:szCs w:val="22"/>
        </w:rPr>
        <w:t xml:space="preserve">Empresa Demo, S.A.B. de C.V. define los horizontes temporales de corto, mediano y largo plazo que utiliza para identificar y evaluar los riesgos y oportunidades relacionados con el clima, así como para describir los efectos que dichos riesgos y oportunidades podrían tener sobre su situación financiera, rendimiento financiero y flujos de efectivo. La tabla anterior presenta la delimitación de cada horizonte y las razones que sustentan su elección.</w:t>
      </w:r>
    </w:p>
    <w:p>
      <w:pPr>
        <w:spacing w:after="140" w:line="300"/>
        <w:jc w:val="both"/>
      </w:pPr>
      <w:r>
        <w:rPr>
          <w:b w:val="false"/>
          <w:bCs w:val="false"/>
          <w:color w:val="1A1A1A"/>
          <w:sz w:val="22"/>
          <w:szCs w:val="22"/>
        </w:rPr>
        <w:t xml:space="preserve">La definición de los horizontes responde al modelo de negocio de la Compañía y a la duración de los activos y pasivos que administra. El corto plazo se vincula con el ciclo de planeación y ejecución operativa, incluida la gestión de liquidez y la atención de contingencias en la red de sucursales. El mediano plazo se alinea con la duración característica de la cartera comercial y de arrendamiento, así como con el periodo que abarca el plan estratégico, de manera que la evaluación de los asuntos climáticos coincida con los procesos de decisión de la Compañía. El largo plazo se asocia con la duración de la cartera hipotecaria, con la vida útil de la infraestructura propia y con el desarrollo de las trayectorias regulatorias y físicas del clima, cuyos efectos tienden a manifestarse en periodos que exceden el ciclo estratégico.</w:t>
      </w:r>
    </w:p>
    <w:p>
      <w:pPr>
        <w:spacing w:after="140" w:line="300"/>
        <w:jc w:val="both"/>
      </w:pPr>
      <w:r>
        <w:rPr>
          <w:b w:val="false"/>
          <w:bCs w:val="false"/>
          <w:color w:val="1A1A1A"/>
          <w:sz w:val="22"/>
          <w:szCs w:val="22"/>
        </w:rPr>
        <w:t xml:space="preserve">Estos horizontes se aplican en la identificación y evaluación de los riesgos y oportunidades relacionados con el clima descritos en este informe, de modo que los efectos actuales y previstos se presentan con referencia a los mismos plazos que la Compañía emplea en su planeación.</w:t>
      </w:r>
    </w:p>
    <w:p>
      <w:pPr>
        <w:pStyle w:val="Heading2"/>
        <w:spacing w:after="60" w:before="360"/>
      </w:pPr>
      <w:r>
        <w:rPr>
          <w:b/>
          <w:bCs/>
          <w:color w:val="14302A"/>
          <w:sz w:val="26"/>
          <w:szCs w:val="26"/>
        </w:rPr>
        <w:t xml:space="preserve">Evaluación y priorización de riesgos</w:t>
      </w:r>
    </w:p>
    <w:p>
      <w:pPr>
        <w:spacing w:after="100" w:before="160"/>
      </w:pPr>
      <w:r>
        <w:rPr>
          <w:b/>
          <w:bCs/>
          <w:color w:val="14302A"/>
          <w:sz w:val="22"/>
          <w:szCs w:val="22"/>
        </w:rPr>
        <w:t xml:space="preserve">Priorización de riesgos y oportunidades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Riesgo u oportunidad</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Tipo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Probabilidad</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Impacto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Severidad</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Nivel</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Huracanes e inundaciones en la red del sureste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Riesgo físico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5</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4</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Crítico</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Estrés hídrico sobre la cartera agropecuaria del norte y el Bajío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Riesgo físico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4</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4</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16</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Alto</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Precio al carbono y regulación sobre sectores intensivos en la cartera empresarial</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Riesgo de transición</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4</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3</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12</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Medio</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Expectativas de inversionistas y taxonomía sostenible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Riesgo de transición</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3</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3</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9</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Medio</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Financiamiento sostenible a pymes y vivienda eficiente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Oportunidad</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Eficiencia operativa de la red</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Oportunidad</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r>
    </w:tbl>
    <w:p>
      <w:pPr>
        <w:spacing w:after="200"/>
      </w:pPr>
    </w:p>
    <w:p>
      <w:pPr>
        <w:spacing w:after="140" w:line="300"/>
        <w:jc w:val="both"/>
      </w:pPr>
      <w:r>
        <w:rPr>
          <w:b w:val="false"/>
          <w:bCs w:val="false"/>
          <w:color w:val="1A1A1A"/>
          <w:sz w:val="22"/>
          <w:szCs w:val="22"/>
        </w:rPr>
        <w:t xml:space="preserve">Empresa Demo, S.A.B. de C.V. evalúa y prioriza los riesgos y oportunidades relacionados con el clima mediante una matriz que combina la probabilidad de ocurrencia de cada riesgo con la magnitud de su impacto sobre la operación, la cartera y la captación. Ambas dimensiones se califican en una escala de uno a cinco y su combinación produce una calificación de severidad cuyo valor máximo es 25. Esa calificación se traduce en cuatro niveles de prioridad: bajo, entre cero y cinco puntos; medio, entre seis y doce; alto, entre trece y diecinueve; y crítico, entre veinte y veinticinco.</w:t>
      </w:r>
    </w:p>
    <w:p>
      <w:pPr>
        <w:spacing w:after="140" w:line="300"/>
        <w:jc w:val="both"/>
      </w:pPr>
      <w:r>
        <w:rPr>
          <w:b w:val="false"/>
          <w:bCs w:val="false"/>
          <w:color w:val="1A1A1A"/>
          <w:sz w:val="22"/>
          <w:szCs w:val="22"/>
        </w:rPr>
        <w:t xml:space="preserve">La tabla anterior presenta el resultado de esa evaluación para el ejercicio 2025. Los riesgos físicos, asociados a la exposición de la red de sucursales del sureste a ciclones e inundaciones y a la exposición de la cartera agropecuaria a la escasez de agua, ocupan los niveles superiores de la matriz. Los riesgos de transición, vinculados a la regulación sobre sectores intensivos en carbono dentro de la cartera empresarial y a las expectativas de los inversionistas institucionales, se ubican en el nivel medio.</w:t>
      </w:r>
    </w:p>
    <w:p>
      <w:pPr>
        <w:spacing w:after="140" w:line="300"/>
        <w:jc w:val="both"/>
      </w:pPr>
      <w:r>
        <w:rPr>
          <w:b w:val="false"/>
          <w:bCs w:val="false"/>
          <w:color w:val="1A1A1A"/>
          <w:sz w:val="22"/>
          <w:szCs w:val="22"/>
        </w:rPr>
        <w:t xml:space="preserve">Las oportunidades relacionadas con el clima se identifican y describen con los mismos criterios de ubicación en la cadena de valor y horizonte temporal, pero no se someten a la calificación de probabilidad e impacto, ya que la matriz de severidad se aplica exclusivamente a riesgos. El nivel asignado a cada riesgo determina la frecuencia de su seguimiento y el orden en que la Compañía asigna medidas de respuesta, lo que se describe en las secciones correspondientes de este informe.</w:t>
      </w:r>
    </w:p>
    <w:p>
      <w:pPr>
        <w:pStyle w:val="Heading2"/>
        <w:spacing w:after="60" w:before="360"/>
      </w:pPr>
      <w:r>
        <w:rPr>
          <w:b/>
          <w:bCs/>
          <w:color w:val="14302A"/>
          <w:sz w:val="26"/>
          <w:szCs w:val="26"/>
        </w:rPr>
        <w:t xml:space="preserve">Resumen de efectos financieros actuales y previstos</w:t>
      </w:r>
    </w:p>
    <w:p>
      <w:pPr>
        <w:spacing w:after="180"/>
      </w:pPr>
      <w:r>
        <w:rPr>
          <w:color w:val="8A6D1B"/>
          <w:sz w:val="16"/>
          <w:szCs w:val="16"/>
        </w:rPr>
        <w:t xml:space="preserve">NIIF S2 16(a) · NIIF S2 16(b) · NIIF S2 16(c)(i)(ii) · NIIF S2 16(d)</w:t>
      </w:r>
    </w:p>
    <w:p>
      <w:pPr>
        <w:spacing w:after="140" w:line="300"/>
        <w:jc w:val="both"/>
      </w:pPr>
      <w:r>
        <w:rPr>
          <w:b w:val="false"/>
          <w:bCs w:val="false"/>
          <w:color w:val="1A1A1A"/>
          <w:sz w:val="22"/>
          <w:szCs w:val="22"/>
        </w:rPr>
        <w:t xml:space="preserve">Empresa Demo, S.A.B. de C.V. presenta a continuación un resumen de los efectos que los riesgos y oportunidades relacionados con el clima tuvieron sobre su situación financiera, rendimiento financiero y flujos de efectivo durante el ejercicio 2025, así como de los cambios que prevé en el corto, mediano y largo plazo derivados de la estrategia con la que gestiona dichos riesgos y oportunidades.</w:t>
      </w:r>
    </w:p>
    <w:p>
      <w:pPr>
        <w:spacing w:after="140" w:line="300"/>
        <w:jc w:val="both"/>
      </w:pPr>
      <w:r>
        <w:rPr>
          <w:b w:val="false"/>
          <w:bCs w:val="false"/>
          <w:color w:val="1A1A1A"/>
          <w:sz w:val="22"/>
          <w:szCs w:val="22"/>
        </w:rPr>
        <w:t xml:space="preserve">Con la información disponible al cierre de 2025, la Compañía no identificó efectos de los riesgos y oportunidades relacionados con el clima que requirieran reconocer ajustes en los importes de los estados financieros del ejercicio, ni partidas afectadas de forma material. El gasto de capital asociado a adecuaciones y seguros de la red del sureste ascendió a 18.5 millones de pesos y la inversión ambiental del ejercicio a 31.4 millones de pesos; ambos conceptos se registraron en los rubros ordinarios de gasto e inversión.</w:t>
      </w:r>
    </w:p>
    <w:p>
      <w:pPr>
        <w:spacing w:after="140" w:line="300"/>
        <w:jc w:val="both"/>
      </w:pPr>
      <w:r>
        <w:rPr>
          <w:b w:val="false"/>
          <w:bCs w:val="false"/>
          <w:color w:val="1A1A1A"/>
          <w:sz w:val="22"/>
          <w:szCs w:val="22"/>
        </w:rPr>
        <w:t xml:space="preserve">Los riesgos físicos sobre los colaterales de la región sureste y sobre la cartera agropecuaria constituyen la principal fuente de riesgo de un ajuste material sobre los importes en libros de los activos y pasivos dentro del siguiente periodo anual sobre el que se informa.</w:t>
      </w:r>
    </w:p>
    <w:p>
      <w:pPr>
        <w:spacing w:after="140" w:line="300"/>
        <w:jc w:val="both"/>
      </w:pPr>
      <w:r>
        <w:rPr>
          <w:b w:val="false"/>
          <w:bCs w:val="false"/>
          <w:color w:val="1A1A1A"/>
          <w:sz w:val="22"/>
          <w:szCs w:val="22"/>
        </w:rPr>
        <w:t xml:space="preserve">La Compañía prevé que la reconfiguración gradual de la cartera hacia sectores y activos de menor exposición climática, junto con el crecimiento de la cartera sostenible, modifique la composición de sus activos en el mediano plazo sin efectos materiales sobre el capital regulatorio. En el largo plazo, la materialización de riesgos físicos sobre los colaterales del sureste y la cartera agropecuaria podría requerir el reconocimiento de reservas adicionales; al cierre de 2025 no se identificó la necesidad de reconocer ajustes por este concepto. El financiamiento sostenible forma parte de las fuentes de financiación consideradas para instrumentar esta estrategia.</w:t>
      </w:r>
    </w:p>
    <w:p>
      <w:pPr>
        <w:spacing w:after="140" w:line="300"/>
        <w:jc w:val="both"/>
      </w:pPr>
      <w:r>
        <w:rPr>
          <w:b w:val="false"/>
          <w:bCs w:val="false"/>
          <w:color w:val="1A1A1A"/>
          <w:sz w:val="22"/>
          <w:szCs w:val="22"/>
        </w:rPr>
        <w:t xml:space="preserve">En cuanto al rendimiento financiero y los flujos de efectivo, se espera un efecto positivo gradual sobre el margen financiero por el menor costo de fondeo asociado al financiamiento sostenible y por la reducción del gasto operativo de la red derivada del programa de eficiencia energética, con un ahorro estimado de 9 millones de pesos anuales a partir de 2027. En un escenario de altas emisiones, los eventos climáticos extremos podrían incrementar el gasto por reservas, seguros y reestructuras en los años en que ocurran, sin que en 2025 se haya identificado un patrón cuantificable de dicho efecto.</w:t>
      </w:r>
    </w:p>
    <w:p>
      <w:pPr>
        <w:pStyle w:val="Heading2"/>
        <w:spacing w:after="60" w:before="360"/>
      </w:pPr>
      <w:r>
        <w:rPr>
          <w:b/>
          <w:bCs/>
          <w:color w:val="14302A"/>
          <w:sz w:val="26"/>
          <w:szCs w:val="26"/>
        </w:rPr>
        <w:t xml:space="preserve">Nuestra historia (línea de tiempo)</w:t>
      </w:r>
    </w:p>
    <w:p>
      <w:pPr>
        <w:spacing w:after="140" w:line="300"/>
        <w:jc w:val="both"/>
      </w:pPr>
      <w:r>
        <w:rPr>
          <w:b w:val="false"/>
          <w:bCs w:val="false"/>
          <w:color w:val="1A1A1A"/>
          <w:sz w:val="22"/>
          <w:szCs w:val="22"/>
        </w:rPr>
        <w:t xml:space="preserve">Empresa Demo, S.A.B. de C.V. presenta a continuación los principales hitos de su trayectoria corporativa, con el propósito de ofrecer a los usuarios de los informes financieros con propósito general el contexto histórico en el que se inscriben las operaciones sobre las que se informa en el ejercicio 2025. La secuencia abarca desde la constitución de la entidad de origen del grupo hasta la configuración más reciente de su red de sucursales y del tamaño de su cartera, y permite situar en el tiempo la evolución de la Compañía como institución financiera que cotiza en el mercado de valores mexicano.</w:t>
      </w:r>
    </w:p>
    <w:p>
      <w:pPr>
        <w:spacing w:after="140" w:line="300"/>
        <w:jc w:val="both"/>
      </w:pPr>
      <w:r>
        <w:rPr>
          <w:b w:val="false"/>
          <w:bCs w:val="false"/>
          <w:color w:val="1A1A1A"/>
          <w:sz w:val="22"/>
          <w:szCs w:val="22"/>
        </w:rPr>
        <w:t xml:space="preserve">En 1996 se constituyó Arrendadora Demo en Monterrey, entidad que representa el origen del grupo. En 2004 la Compañía obtuvo la licencia de banca múltiple, con lo cual Banco Demo inició operaciones. En 2009 las acciones de la Compañía fueron listadas en la Bolsa Mexicana de Valores, hecho que marcó su incorporación al mercado público de capitales. En 2014 se llevó a cabo la expansión al sureste del país, con la apertura del centro operativo de Mérida y de 30 sucursales. En 2019 la Compañía realizó su primera emisión de certificados bursátiles de largo plazo, con la que amplió sus fuentes de financiamiento en el mercado de deuda. En 2023 la cartera total superó los 80,000 millones de pesos y la red de atención alcanzó 118 sucursales en 22 estados de la República Mexicana.</w:t>
      </w:r>
    </w:p>
    <w:p>
      <w:pPr>
        <w:spacing w:after="140" w:line="300"/>
        <w:jc w:val="both"/>
      </w:pPr>
      <w:r>
        <w:rPr>
          <w:b w:val="false"/>
          <w:bCs w:val="false"/>
          <w:color w:val="1A1A1A"/>
          <w:sz w:val="22"/>
          <w:szCs w:val="22"/>
        </w:rPr>
        <w:t xml:space="preserve">Esta línea de tiempo describe la conformación de la entidad que informa y la extensión geográfica de su operación, elementos que sirven de referencia para la lectura de la información relacionada con el clima contenida en este informe. La descripción del modelo de negocio y de la cadena de valor, así como la trayectoria de la Compañía en materia de sostenibilidad y clima, se presentan en las secciones correspondientes de este mismo documento.</w:t>
      </w:r>
    </w:p>
    <w:p>
      <w:pPr>
        <w:pStyle w:val="Heading2"/>
        <w:spacing w:after="60" w:before="360"/>
      </w:pPr>
      <w:r>
        <w:rPr>
          <w:b/>
          <w:bCs/>
          <w:color w:val="14302A"/>
          <w:sz w:val="26"/>
          <w:szCs w:val="26"/>
        </w:rPr>
        <w:t xml:space="preserve">Modelo de negocio y cadena de valor</w:t>
      </w:r>
    </w:p>
    <w:p>
      <w:pPr>
        <w:spacing w:after="140" w:line="300"/>
        <w:jc w:val="both"/>
      </w:pPr>
      <w:r>
        <w:rPr>
          <w:b w:val="false"/>
          <w:bCs w:val="false"/>
          <w:color w:val="1A1A1A"/>
          <w:sz w:val="22"/>
          <w:szCs w:val="22"/>
        </w:rPr>
        <w:t xml:space="preserve">Empresa Demo, S.A.B. de C.V. es un grupo financiero mexicano de tamaño medio que opera a través de un banco de banca múltiple, una arrendadora y una empresa de factoraje. La Compañía atiende a personas físicas, pequeñas y medianas empresas y empresas medianas en 22 estados, con concentración en el norte y el sureste del país. Al cierre de 2025 la cartera de crédito total ascendió a 86,400 millones de pesos, distribuida en crédito empresarial (52%), hipotecario (21%), consumo (15%) y agropecuario (12%). La captación tradicional financia el 71% del balance y el resto proviene de emisiones en el mercado de deuda y de líneas de banca de desarrollo. El grupo emplea a 2,860 personas.</w:t>
      </w:r>
    </w:p>
    <w:p>
      <w:pPr>
        <w:spacing w:after="140" w:line="300"/>
        <w:jc w:val="both"/>
      </w:pPr>
      <w:r>
        <w:rPr>
          <w:b w:val="false"/>
          <w:bCs w:val="false"/>
          <w:color w:val="1A1A1A"/>
          <w:sz w:val="22"/>
          <w:szCs w:val="22"/>
        </w:rPr>
        <w:t xml:space="preserve">La cadena de valor de la Compañía comprende seis etapas en las que los riesgos y oportunidades relacionados con el clima inciden de manera diferenciada. La captación, integrada por los depósitos de clientes y la emisión de deuda, es sensible a la percepción de los inversionistas sobre los riesgos climáticos y a las condiciones del mercado de deuda sostenible. En la originación de crédito, etapa de evaluación y otorgamiento, se incorporan criterios climáticos por sector y por ubicación del colateral. La administración de cartera, que abarca el seguimiento, la cobranza y la valuación de garantías, es la etapa en la que se materializan los efectos físicos sobre los colaterales y sobre la capacidad de pago de los acreditados. La tesorería e inversiones, a cargo de la gestión de liquidez y del portafolio de inversión, mantiene una exposición indirecta a emisores con riesgo de transición. La operación y la red de sucursales, conformada por 118 sucursales, tres centros operativos y el corporativo, constituye la fuente de las emisiones propias de gases de efecto invernadero y de la exposición física directa de la Compañía. Por último, los proveedores de tecnología, servicios de valor, mantenimiento y energía inciden en la continuidad operativa.</w:t>
      </w:r>
    </w:p>
    <w:p>
      <w:pPr>
        <w:spacing w:after="140" w:line="300"/>
        <w:jc w:val="both"/>
      </w:pPr>
      <w:r>
        <w:rPr>
          <w:b w:val="false"/>
          <w:bCs w:val="false"/>
          <w:color w:val="1A1A1A"/>
          <w:sz w:val="22"/>
          <w:szCs w:val="22"/>
        </w:rPr>
        <w:t xml:space="preserve">Esta descripción del modelo de negocio y de la cadena de valor constituye la base sobre la cual la Compañía identifica en qué etapas de su actividad surgen los riesgos y oportunidades relacionados con el clima que pueden afectar su situación financiera, rendimiento financiero y flujos de efectivo.</w:t>
      </w:r>
    </w:p>
    <w:p>
      <w:pPr>
        <w:pStyle w:val="Heading2"/>
        <w:spacing w:after="60" w:before="360"/>
      </w:pPr>
      <w:r>
        <w:rPr>
          <w:b/>
          <w:bCs/>
          <w:color w:val="14302A"/>
          <w:sz w:val="26"/>
          <w:szCs w:val="26"/>
        </w:rPr>
        <w:t xml:space="preserve">Efectos sobre el modelo de negocio y la cadena de valor</w:t>
      </w:r>
    </w:p>
    <w:p>
      <w:pPr>
        <w:spacing w:after="180"/>
      </w:pPr>
      <w:r>
        <w:rPr>
          <w:color w:val="8A6D1B"/>
          <w:sz w:val="16"/>
          <w:szCs w:val="16"/>
        </w:rPr>
        <w:t xml:space="preserve">NIIF S2 13(a) · NIIF S2 13(b)</w:t>
      </w:r>
    </w:p>
    <w:p>
      <w:pPr>
        <w:spacing w:after="140" w:line="300"/>
        <w:jc w:val="both"/>
      </w:pPr>
      <w:r>
        <w:rPr>
          <w:b w:val="false"/>
          <w:bCs w:val="false"/>
          <w:color w:val="1A1A1A"/>
          <w:sz w:val="22"/>
          <w:szCs w:val="22"/>
        </w:rPr>
        <w:t xml:space="preserve">Empresa Demo, S.A.B. de C.V. describe a continuación los efectos actuales y previstos de los riesgos y oportunidades relacionados con el clima sobre su modelo de negocio y su cadena de valor, así como los puntos en los que dichos riesgos y oportunidades se concentran. Los efectos actuales se manifiestan en tres frentes: la originación de crédito, la administración de la cartera y la operación de la red de sucursales. Los efectos previstos consisten en una reconfiguración gradual de la cartera hacia sectores y activos con menor exposición, el crecimiento de la cartera sostenible y un mayor peso de los criterios climáticos en la captación de recursos en los mercados.</w:t>
      </w:r>
    </w:p>
    <w:p>
      <w:pPr>
        <w:spacing w:after="140" w:line="300"/>
        <w:jc w:val="both"/>
      </w:pPr>
      <w:r>
        <w:rPr>
          <w:b w:val="false"/>
          <w:bCs w:val="false"/>
          <w:color w:val="1A1A1A"/>
          <w:sz w:val="22"/>
          <w:szCs w:val="22"/>
        </w:rPr>
        <w:t xml:space="preserve">En la originación de crédito, la Compañía aplica criterios climáticos por sector y por ubicación geográfica de los acreditados. En la administración de la cartera, mantiene un seguimiento reforzado sobre la cartera agropecuaria del norte y el Bajío, expuesta al estrés hídrico, y sobre la cartera hipotecaria y pyme del sureste, expuesta a huracanes e inundaciones. En la operación, el efecto se refleja en los costos de aseguramiento y en los planes de continuidad de la red.</w:t>
      </w:r>
    </w:p>
    <w:p>
      <w:pPr>
        <w:spacing w:after="140" w:line="300"/>
        <w:jc w:val="both"/>
      </w:pPr>
      <w:r>
        <w:rPr>
          <w:b w:val="false"/>
          <w:bCs w:val="false"/>
          <w:color w:val="1A1A1A"/>
          <w:sz w:val="22"/>
          <w:szCs w:val="22"/>
        </w:rPr>
        <w:t xml:space="preserve">Los riesgos físicos se concentran en la red de sucursales y el centro operativo del sureste, ubicados en zonas de alta incidencia de ciclones, y en la cartera agropecuaria concentrada en regiones con déficit hídrico creciente. Los riesgos de transición se concentran en la cartera empresarial otorgada a sectores intensivos en carbono, como cemento, acero, transporte de carga y generación eléctrica convencional, y en la captación y tesorería, donde las expectativas de los inversionistas institucionales respecto de la alineación con la Taxonomía Sostenible de México inciden en el costo del fondeo.</w:t>
      </w:r>
    </w:p>
    <w:p>
      <w:pPr>
        <w:spacing w:after="140" w:line="300"/>
        <w:jc w:val="both"/>
      </w:pPr>
      <w:r>
        <w:rPr>
          <w:b w:val="false"/>
          <w:bCs w:val="false"/>
          <w:color w:val="1A1A1A"/>
          <w:sz w:val="22"/>
          <w:szCs w:val="22"/>
        </w:rPr>
        <w:t xml:space="preserve">Las oportunidades se concentran en la originación de crédito y la captación, mediante el financiamiento sostenible a pymes y a vivienda eficiente, y en la operación de la red de sucursales, mediante la reducción del consumo eléctrico y la generación solar distribuida. A través de estas vías, la Compañía prevé que la composición de su cartera, su estructura de fondeo y su gasto operativo incorporen de manera progresiva la consideración de los riesgos y oportunidades relacionados con el clima.</w:t>
      </w:r>
    </w:p>
    <w:p>
      <w:pPr>
        <w:pStyle w:val="Heading1"/>
        <w:pageBreakBefore/>
        <w:spacing w:after="240" w:before="240"/>
      </w:pPr>
      <w:r>
        <w:rPr>
          <w:b/>
          <w:bCs/>
          <w:color w:val="14302A"/>
          <w:sz w:val="34"/>
          <w:szCs w:val="34"/>
        </w:rPr>
        <w:t xml:space="preserve">II · Gobernanza</w:t>
      </w:r>
    </w:p>
    <w:p>
      <w:pPr>
        <w:pStyle w:val="Heading2"/>
        <w:spacing w:after="60" w:before="360"/>
      </w:pPr>
      <w:r>
        <w:rPr>
          <w:b/>
          <w:bCs/>
          <w:color w:val="14302A"/>
          <w:sz w:val="26"/>
          <w:szCs w:val="26"/>
        </w:rPr>
        <w:t xml:space="preserve">Introducción a la sección</w:t>
      </w:r>
    </w:p>
    <w:p>
      <w:pPr>
        <w:spacing w:after="140" w:line="300"/>
        <w:jc w:val="both"/>
      </w:pPr>
      <w:r>
        <w:rPr>
          <w:b w:val="false"/>
          <w:bCs w:val="false"/>
          <w:color w:val="1A1A1A"/>
          <w:sz w:val="22"/>
          <w:szCs w:val="22"/>
        </w:rPr>
        <w:t xml:space="preserve">Esta sección describe los procesos, controles y procedimientos de gobernanza que la Compañía utiliza para supervisar, gestionar y vigilar los riesgos y oportunidades relacionados con el clima, así como el papel del órgano de gobierno y de la gerencia en esos procesos.</w:t>
      </w:r>
    </w:p>
    <w:p>
      <w:pPr>
        <w:pStyle w:val="Heading2"/>
        <w:spacing w:after="60" w:before="360"/>
      </w:pPr>
      <w:r>
        <w:rPr>
          <w:b/>
          <w:bCs/>
          <w:color w:val="14302A"/>
          <w:sz w:val="26"/>
          <w:szCs w:val="26"/>
        </w:rPr>
        <w:t xml:space="preserve">Roles y responsabilidades del órgano de gobierno</w:t>
      </w:r>
    </w:p>
    <w:p>
      <w:pPr>
        <w:spacing w:after="180"/>
      </w:pPr>
      <w:r>
        <w:rPr>
          <w:color w:val="8A6D1B"/>
          <w:sz w:val="16"/>
          <w:szCs w:val="16"/>
        </w:rPr>
        <w:t xml:space="preserve">NIIF S2 6 (a) · NIIF S2 6 (a)(i) · NIIF S2 6 (a)(ii)</w:t>
      </w:r>
    </w:p>
    <w:p>
      <w:pPr>
        <w:spacing w:after="140" w:line="300"/>
        <w:jc w:val="both"/>
      </w:pPr>
      <w:r>
        <w:rPr>
          <w:b w:val="false"/>
          <w:bCs w:val="false"/>
          <w:color w:val="1A1A1A"/>
          <w:sz w:val="22"/>
          <w:szCs w:val="22"/>
        </w:rPr>
        <w:t xml:space="preserve">Empresa Demo, S.A.B. de C.V. asigna la supervisión de los riesgos y oportunidades relacionados con el clima a su Consejo de Administración, que es el órgano de gobierno responsable en esta materia. El Consejo delegó el seguimiento de dichos riesgos y oportunidades en el Comité de Sostenibilidad y Riesgos Climáticos, creado en febrero de 2025, que reporta al propio Consejo los asuntos climáticos que requieren su conocimiento o decisión.</w:t>
      </w:r>
    </w:p>
    <w:p>
      <w:pPr>
        <w:spacing w:after="140" w:line="300"/>
        <w:jc w:val="both"/>
      </w:pPr>
      <w:r>
        <w:rPr>
          <w:b w:val="false"/>
          <w:bCs w:val="false"/>
          <w:color w:val="1A1A1A"/>
          <w:sz w:val="22"/>
          <w:szCs w:val="22"/>
        </w:rPr>
        <w:t xml:space="preserve">Las responsabilidades del Comité de Sostenibilidad y Riesgos Climáticos se encuentran establecidas en sus términos de referencia. Conforme a ellos, el Comité revisa trimestralmente el mapa de riesgos climáticos de la Compañía, aprueba la estrategia climática y supervisa los objetivos relacionados con el clima, y valida el informe anual de sostenibilidad antes de su presentación al Consejo de Administración. De esta forma, los términos de referencia del Comité recogen de manera expresa el mandato de supervisión climática que el Consejo le confirió y delimitan la periodicidad y el alcance de esa supervisión.</w:t>
      </w:r>
    </w:p>
    <w:p>
      <w:pPr>
        <w:spacing w:after="140" w:line="300"/>
        <w:jc w:val="both"/>
      </w:pPr>
      <w:r>
        <w:rPr>
          <w:b w:val="false"/>
          <w:bCs w:val="false"/>
          <w:color w:val="1A1A1A"/>
          <w:sz w:val="22"/>
          <w:szCs w:val="22"/>
        </w:rPr>
        <w:t xml:space="preserve">Para determinar si dispone de las habilidades y competencias adecuadas para supervisar las estrategias diseñadas para responder a los riesgos y oportunidades relacionados con el clima, el Consejo de Administración evalúa anualmente la suficiencia de sus competencias en materia climática. Esta evaluación anual es el mecanismo mediante el cual el Consejo determina si las competencias existentes son suficientes o si deben desarrollarse o incorporarse. Durante 2025 el Consejo incorporó a una consejera independiente con experiencia en finanzas sostenibles y contrató un programa de capacitación especializada sobre riesgos climáticos en instituciones financieras, impartido por una firma externa, con una duración de 16 horas y dirigido a los integrantes del Consejo de Administración y del Comité de Dirección.</w:t>
      </w:r>
    </w:p>
    <w:p>
      <w:pPr>
        <w:pStyle w:val="Heading2"/>
        <w:spacing w:after="60" w:before="360"/>
      </w:pPr>
      <w:r>
        <w:rPr>
          <w:b/>
          <w:bCs/>
          <w:color w:val="14302A"/>
          <w:sz w:val="26"/>
          <w:szCs w:val="26"/>
        </w:rPr>
        <w:t xml:space="preserve">Supervisión de la estrategia, objetivos y remuneración</w:t>
      </w:r>
    </w:p>
    <w:p>
      <w:pPr>
        <w:spacing w:after="180"/>
      </w:pPr>
      <w:r>
        <w:rPr>
          <w:color w:val="8A6D1B"/>
          <w:sz w:val="16"/>
          <w:szCs w:val="16"/>
        </w:rPr>
        <w:t xml:space="preserve">NIIF S2 6 (a)(iii) · NIIF S2 6 (a)(iv) · NIIF S2 6 (a)(v)</w:t>
      </w:r>
    </w:p>
    <w:p>
      <w:pPr>
        <w:spacing w:after="140" w:line="300"/>
        <w:jc w:val="both"/>
      </w:pPr>
      <w:r>
        <w:rPr>
          <w:b w:val="false"/>
          <w:bCs w:val="false"/>
          <w:color w:val="1A1A1A"/>
          <w:sz w:val="22"/>
          <w:szCs w:val="22"/>
        </w:rPr>
        <w:t xml:space="preserve">Empresa Demo, S.A.B. de C.V. mantiene un esquema de gobierno mediante el cual el Consejo de Administración recibe información periódica sobre los riesgos y oportunidades relacionados con el clima, los incorpora en la supervisión de la estrategia y de las transacciones importantes, y vigila el establecimiento de los objetivos climáticos y el avance hacia su consecución. A continuación se describe la forma y la frecuencia con que se ejerció esa supervisión durante el ejercicio 2025.</w:t>
      </w:r>
    </w:p>
    <w:p>
      <w:pPr>
        <w:spacing w:after="140" w:line="300"/>
        <w:jc w:val="both"/>
      </w:pPr>
      <w:r>
        <w:rPr>
          <w:b w:val="false"/>
          <w:bCs w:val="false"/>
          <w:color w:val="1A1A1A"/>
          <w:sz w:val="22"/>
          <w:szCs w:val="22"/>
        </w:rPr>
        <w:t xml:space="preserve">El Comité de Sostenibilidad y Riesgos Climáticos se reúne cada trimestre. El Consejo de Administración recibe un informe integral sobre riesgos y oportunidades relacionados con el clima dos veces al año, en las sesiones de abril y octubre, y es informado de inmediato cuando ocurre un evento climático con impacto material en la operación o en la cartera de la Compañía.</w:t>
      </w:r>
    </w:p>
    <w:p>
      <w:pPr>
        <w:spacing w:after="140" w:line="300"/>
        <w:jc w:val="both"/>
      </w:pPr>
      <w:r>
        <w:rPr>
          <w:b w:val="false"/>
          <w:bCs w:val="false"/>
          <w:color w:val="1A1A1A"/>
          <w:sz w:val="22"/>
          <w:szCs w:val="22"/>
        </w:rPr>
        <w:t xml:space="preserve">El Consejo considera los riesgos relacionados con el clima al aprobar el plan estratégico, el presupuesto anual, los límites de concentración sectorial de la cartera y las emisiones de deuda. Desde 2025, toda propuesta de crédito superior a 150 millones de pesos en sectores intensivos en carbono incluye una evaluación de riesgo de transición. Al aprobar los límites de concentración en sectores intensivos en carbono y la línea de financiamiento para riego tecnificado, el Consejo consideró de manera explícita las compensaciones entre un menor crecimiento de corto plazo en esos sectores y la reducción del riesgo de crédito y de transición en el mediano plazo; en ambos casos privilegió la resiliencia de la cartera sobre el volumen inmediato y estableció un seguimiento semestral del efecto de estas decisiones en el margen.</w:t>
      </w:r>
    </w:p>
    <w:p>
      <w:pPr>
        <w:spacing w:after="140" w:line="300"/>
        <w:jc w:val="both"/>
      </w:pPr>
      <w:r>
        <w:rPr>
          <w:b w:val="false"/>
          <w:bCs w:val="false"/>
          <w:color w:val="1A1A1A"/>
          <w:sz w:val="22"/>
          <w:szCs w:val="22"/>
        </w:rPr>
        <w:t xml:space="preserve">El Consejo aprueba los objetivos relacionados con el clima y da seguimiento a su avance en la sesión de octubre. Durante 2025, las métricas de desempeño climático no forman parte de la remuneración variable de la Compañía; el Comité de Prácticas Societarias evalúa su incorporación a las políticas de remuneración a partir de 2027.</w:t>
      </w:r>
    </w:p>
    <w:p>
      <w:pPr>
        <w:pStyle w:val="Heading2"/>
        <w:spacing w:after="60" w:before="360"/>
      </w:pPr>
      <w:r>
        <w:rPr>
          <w:b/>
          <w:bCs/>
          <w:color w:val="14302A"/>
          <w:sz w:val="26"/>
          <w:szCs w:val="26"/>
        </w:rPr>
        <w:t xml:space="preserve">Papel de la gerencia y controles</w:t>
      </w:r>
    </w:p>
    <w:p>
      <w:pPr>
        <w:spacing w:after="180"/>
      </w:pPr>
      <w:r>
        <w:rPr>
          <w:color w:val="8A6D1B"/>
          <w:sz w:val="16"/>
          <w:szCs w:val="16"/>
        </w:rPr>
        <w:t xml:space="preserve">NIIF S2 6(b) · NIIF S2 6(b)(i) · NIIF S2 6(b)(ii)</w:t>
      </w:r>
    </w:p>
    <w:p>
      <w:pPr>
        <w:spacing w:after="140" w:line="300"/>
        <w:jc w:val="both"/>
      </w:pPr>
      <w:r>
        <w:rPr>
          <w:b w:val="false"/>
          <w:bCs w:val="false"/>
          <w:color w:val="1A1A1A"/>
          <w:sz w:val="22"/>
          <w:szCs w:val="22"/>
        </w:rPr>
        <w:t xml:space="preserve">Empresa Demo, S.A.B. de C.V. asigna a la gerencia la responsabilidad de vigilar, gestionar y supervisar de manera continua los riesgos y oportunidades relacionados con el clima. Esta función no se concentra en un solo cargo, sino que se distribuye entre tres direcciones con responsabilidades diferenciadas, cuya actuación se somete a la revisión trimestral del Comité de Riesgos.</w:t>
      </w:r>
    </w:p>
    <w:p>
      <w:pPr>
        <w:spacing w:after="140" w:line="300"/>
        <w:jc w:val="both"/>
      </w:pPr>
      <w:r>
        <w:rPr>
          <w:b w:val="false"/>
          <w:bCs w:val="false"/>
          <w:color w:val="1A1A1A"/>
          <w:sz w:val="22"/>
          <w:szCs w:val="22"/>
        </w:rPr>
        <w:t xml:space="preserve">La Dirección de Riesgos es responsable de identificar y medir los riesgos climáticos, para lo cual aplica la metodología corporativa de riesgos de la Compañía, de modo que los riesgos relacionados con el clima se evalúan con los mismos criterios y herramientas que el resto de los riesgos a los que está expuesta. La Dirección de Sostenibilidad coordina la estrategia climática, el establecimiento y seguimiento de los objetivos y la preparación de la información a revelar correspondiente. La Dirección de Crédito aplica los criterios climáticos en la originación, de manera que las consideraciones climáticas forman parte del análisis previo a la aprobación de operaciones.</w:t>
      </w:r>
    </w:p>
    <w:p>
      <w:pPr>
        <w:spacing w:after="140" w:line="300"/>
        <w:jc w:val="both"/>
      </w:pPr>
      <w:r>
        <w:rPr>
          <w:b w:val="false"/>
          <w:bCs w:val="false"/>
          <w:color w:val="1A1A1A"/>
          <w:sz w:val="22"/>
          <w:szCs w:val="22"/>
        </w:rPr>
        <w:t xml:space="preserve">La gerencia utiliza controles y procedimientos específicos para apoyar esta supervisión. Entre ellos se encuentran la clasificación sectorial de la cartera, que permite identificar la exposición de la cartera por sector; los límites de concentración, que acotan dicha exposición; la evaluación de la exposición física de los colaterales, que incorpora los riesgos físicos en el análisis de las garantías; y la revisión trimestral del Comité de Riesgos, en la cual se examinan los resultados de los controles anteriores y la gestión realizada por las direcciones responsables.</w:t>
      </w:r>
    </w:p>
    <w:p>
      <w:pPr>
        <w:spacing w:after="140" w:line="300"/>
        <w:jc w:val="both"/>
      </w:pPr>
      <w:r>
        <w:rPr>
          <w:b w:val="false"/>
          <w:bCs w:val="false"/>
          <w:color w:val="1A1A1A"/>
          <w:sz w:val="22"/>
          <w:szCs w:val="22"/>
        </w:rPr>
        <w:t xml:space="preserve">Estos controles y procedimientos se integran con otras funciones internas de la Compañía: la medición de los riesgos climáticos se inserta en la metodología corporativa de riesgos, los criterios climáticos se aplican dentro del proceso ordinario de originación de crédito, y los límites de concentración y la clasificación sectorial forman parte de los instrumentos con los que se administra la cartera en su conjunto. De este modo, la supervisión de los riesgos y oportunidades relacionados con el clima no opera como un proceso aislado, sino como un componente de los procesos de gestión de riesgos y de crédito de la Compañía.</w:t>
      </w:r>
    </w:p>
    <w:p>
      <w:pPr>
        <w:pStyle w:val="Heading2"/>
        <w:spacing w:after="60" w:before="360"/>
      </w:pPr>
      <w:r>
        <w:rPr>
          <w:b/>
          <w:bCs/>
          <w:color w:val="14302A"/>
          <w:sz w:val="26"/>
          <w:szCs w:val="26"/>
        </w:rPr>
        <w:t xml:space="preserve">Estructura de gobierno corporativo y organigrama</w:t>
      </w:r>
    </w:p>
    <w:p>
      <w:pPr>
        <w:spacing w:after="140" w:line="300"/>
        <w:jc w:val="both"/>
      </w:pPr>
      <w:r>
        <w:rPr>
          <w:b w:val="false"/>
          <w:bCs w:val="false"/>
          <w:color w:val="1A1A1A"/>
          <w:sz w:val="22"/>
          <w:szCs w:val="22"/>
        </w:rPr>
        <w:t xml:space="preserve">Empresa Demo, S.A.B. de C.V. cuenta con una estructura de gobierno corporativo en la que el Consejo de Administración es el máximo órgano de gobierno y tiene a su cargo la supervisión de los riesgos y oportunidades relacionados con el clima. Para el ejercicio de esta función, el Consejo se apoya en comités que abarcan tanto el ámbito societario como el de riesgos, y en una estructura de gestión con responsabilidades diferenciadas en materia climática. El organigrama que acompaña esta sección presenta la relación entre el Consejo de Administración, sus comités y las direcciones responsables de los asuntos relacionados con el clima.</w:t>
      </w:r>
    </w:p>
    <w:p>
      <w:pPr>
        <w:spacing w:after="140" w:line="300"/>
        <w:jc w:val="both"/>
      </w:pPr>
      <w:r>
        <w:rPr>
          <w:b w:val="false"/>
          <w:bCs w:val="false"/>
          <w:color w:val="1A1A1A"/>
          <w:sz w:val="22"/>
          <w:szCs w:val="22"/>
        </w:rPr>
        <w:t xml:space="preserve">Los comités del Consejo de Administración que participan en la supervisión de los asuntos relacionados con el clima son el Comité de Auditoría y Prácticas Societarias, el Comité de Riesgos y el Comité de Sostenibilidad y Riesgos Climáticos. Este último fue constituido en 2025 y se integra por tres consejeros, dos de ellos independientes; lo preside una consejera independiente con experiencia en finanzas sostenibles. El Comité de Sostenibilidad y Riesgos Climáticos sesiona con periodicidad trimestral e informa al Consejo de Administración dos veces al año.</w:t>
      </w:r>
    </w:p>
    <w:p>
      <w:pPr>
        <w:spacing w:after="140" w:line="300"/>
        <w:jc w:val="both"/>
      </w:pPr>
      <w:r>
        <w:rPr>
          <w:b w:val="false"/>
          <w:bCs w:val="false"/>
          <w:color w:val="1A1A1A"/>
          <w:sz w:val="22"/>
          <w:szCs w:val="22"/>
        </w:rPr>
        <w:t xml:space="preserve">A nivel de gestión, la estructura se organiza en tres instancias con funciones específicas. La Dirección de Riesgos coordina la identificación y medición de los riesgos climáticos. La Dirección de Sostenibilidad tiene a su cargo la estrategia climática y la elaboración de la información a revelar en esta materia. El Comité de Dirección es responsable de integrar los riesgos y oportunidades relacionados con el clima en la planeación y en el presupuesto de la Compañía.</w:t>
      </w:r>
    </w:p>
    <w:p>
      <w:pPr>
        <w:spacing w:after="140" w:line="300"/>
        <w:jc w:val="both"/>
      </w:pPr>
      <w:r>
        <w:rPr>
          <w:b w:val="false"/>
          <w:bCs w:val="false"/>
          <w:color w:val="1A1A1A"/>
          <w:sz w:val="22"/>
          <w:szCs w:val="22"/>
        </w:rPr>
        <w:t xml:space="preserve">Esta estructura articula la supervisión del órgano de gobierno con la ejecución por parte de la gerencia, de manera que la información sobre riesgos y oportunidades relacionados con el clima fluye desde las direcciones responsables hacia el Comité de Sostenibilidad y Riesgos Climáticos y, a través de éste, hacia el Consejo de Administración.</w:t>
      </w:r>
    </w:p>
    <w:p>
      <w:pPr>
        <w:pStyle w:val="Heading1"/>
        <w:pageBreakBefore/>
        <w:spacing w:after="240" w:before="240"/>
      </w:pPr>
      <w:r>
        <w:rPr>
          <w:b/>
          <w:bCs/>
          <w:color w:val="14302A"/>
          <w:sz w:val="34"/>
          <w:szCs w:val="34"/>
        </w:rPr>
        <w:t xml:space="preserve">III · Estrategia</w:t>
      </w:r>
    </w:p>
    <w:p>
      <w:pPr>
        <w:pStyle w:val="Heading2"/>
        <w:spacing w:after="60" w:before="360"/>
      </w:pPr>
      <w:r>
        <w:rPr>
          <w:b/>
          <w:bCs/>
          <w:color w:val="14302A"/>
          <w:sz w:val="26"/>
          <w:szCs w:val="26"/>
        </w:rPr>
        <w:t xml:space="preserve">Trayectoria en sostenibilidad y clima</w:t>
      </w:r>
    </w:p>
    <w:p>
      <w:pPr>
        <w:spacing w:after="140" w:line="300"/>
        <w:jc w:val="both"/>
      </w:pPr>
      <w:r>
        <w:rPr>
          <w:b w:val="false"/>
          <w:bCs w:val="false"/>
          <w:color w:val="1A1A1A"/>
          <w:sz w:val="22"/>
          <w:szCs w:val="22"/>
        </w:rPr>
        <w:t xml:space="preserve">Empresa Demo, S.A.B. de C.V. ha incorporado de manera progresiva la gestión de los asuntos de sostenibilidad y, en particular, de los riesgos y oportunidades relacionados con el clima, a lo largo de un recorrido que inició con la publicación de información no financiera y que ha derivado en la creación de estructuras de gobierno, políticas y ejercicios de medición específicos. La presente revelación bajo las Normas NIIF S1 y S2 correspondiente al ejercicio 2025 se apoya en esa trayectoria, que se resume a continuación en orden cronológico.</w:t>
      </w:r>
    </w:p>
    <w:p>
      <w:pPr>
        <w:spacing w:after="140" w:line="300"/>
        <w:jc w:val="both"/>
      </w:pPr>
      <w:r>
        <w:rPr>
          <w:b w:val="false"/>
          <w:bCs w:val="false"/>
          <w:color w:val="1A1A1A"/>
          <w:sz w:val="22"/>
          <w:szCs w:val="22"/>
        </w:rPr>
        <w:t xml:space="preserve">En 2017 la Compañía publicó su primer Informe Anual de Sustentabilidad conforme a los estándares GRI, con lo que estableció una práctica periódica de reporte de información no financiera. En 2019 se adhirió al Pacto Global de las Naciones Unidas. En 2021 realizó la emisión del primer bono verde del grupo, por un monto de 2,000 millones de pesos, cuyos recursos se destinaron a financiar proyectos de eficiencia energética en pequeñas y medianas empresas.</w:t>
      </w:r>
    </w:p>
    <w:p>
      <w:pPr>
        <w:spacing w:after="140" w:line="300"/>
        <w:jc w:val="both"/>
      </w:pPr>
      <w:r>
        <w:rPr>
          <w:b w:val="false"/>
          <w:bCs w:val="false"/>
          <w:color w:val="1A1A1A"/>
          <w:sz w:val="22"/>
          <w:szCs w:val="22"/>
        </w:rPr>
        <w:t xml:space="preserve">En 2022 la Compañía elaboró su primer inventario de emisiones de gases de efecto invernadero de Alcance 1 y Alcance 2, el cual fue verificado por un tercero independiente. En 2024 el Consejo de Administración aprobó la Política de Financiamiento Sostenible y la Compañía obtuvo el distintivo de Empresa Socialmente Responsable.</w:t>
      </w:r>
    </w:p>
    <w:p>
      <w:pPr>
        <w:spacing w:after="140" w:line="300"/>
        <w:jc w:val="both"/>
      </w:pPr>
      <w:r>
        <w:rPr>
          <w:b w:val="false"/>
          <w:bCs w:val="false"/>
          <w:color w:val="1A1A1A"/>
          <w:sz w:val="22"/>
          <w:szCs w:val="22"/>
        </w:rPr>
        <w:t xml:space="preserve">En 2025, ejercicio sobre el que se informa, la Compañía constituyó el Comité de Sostenibilidad y Riesgos Climáticos y llevó a cabo la primera evaluación de riesgos físicos relacionados con el clima sobre su cartera. Estos dos hitos constituyen la base institucional y analítica sobre la cual se presenta, por primera vez, la información relacionada con el clima conforme a las Normas NIIF S1 y S2. La descripción de las funciones del Comité, del método de medición de las emisiones y de los resultados de la evaluación de riesgos físicos se desarrolla en las secciones de gobernanza, métricas y gestión de riesgos de este informe.</w:t>
      </w:r>
    </w:p>
    <w:p>
      <w:pPr>
        <w:pStyle w:val="Heading2"/>
        <w:spacing w:after="60" w:before="360"/>
      </w:pPr>
      <w:r>
        <w:rPr>
          <w:b/>
          <w:bCs/>
          <w:color w:val="14302A"/>
          <w:sz w:val="26"/>
          <w:szCs w:val="26"/>
        </w:rPr>
        <w:t xml:space="preserve">Contexto estratégico</w:t>
      </w:r>
    </w:p>
    <w:p>
      <w:pPr>
        <w:spacing w:after="140" w:line="300"/>
        <w:jc w:val="both"/>
      </w:pPr>
      <w:r>
        <w:rPr>
          <w:b w:val="false"/>
          <w:bCs w:val="false"/>
          <w:color w:val="1A1A1A"/>
          <w:sz w:val="22"/>
          <w:szCs w:val="22"/>
        </w:rPr>
        <w:t xml:space="preserve">Empresa Demo, S.A.B. de C.V. presenta en esta sección el contexto estratégico en el que identifica, evalúa y administra los riesgos y oportunidades relacionados con el clima durante el ejercicio 2025, primer periodo anual en el que aplica las Normas NIIF S1 y S2. La información se limita a los riesgos y oportunidades relacionados con el clima y se presenta sin cifras comparativas de periodos anteriores.</w:t>
      </w:r>
    </w:p>
    <w:p>
      <w:pPr>
        <w:spacing w:after="140" w:line="300"/>
        <w:jc w:val="both"/>
      </w:pPr>
      <w:r>
        <w:rPr>
          <w:b w:val="false"/>
          <w:bCs w:val="false"/>
          <w:color w:val="1A1A1A"/>
          <w:sz w:val="22"/>
          <w:szCs w:val="22"/>
        </w:rPr>
        <w:t xml:space="preserve">El contexto estratégico de la Compañía se articula a partir de la naturaleza y la duración de sus actividades. Por una parte, la operación de su red de sucursales genera necesidades de liquidez y contingencias operativas que se administran dentro del ciclo presupuestal anual. Por otra, la cartera comercial y de arrendamiento tiene una vida promedio que coincide con el horizonte de su plan estratégico. Finalmente, la cartera hipotecaria y la infraestructura propia tienen una vida que se extiende más allá de ese plan y que queda expuesta a las trayectorias regulatorias y físicas del clima.</w:t>
      </w:r>
    </w:p>
    <w:p>
      <w:pPr>
        <w:spacing w:after="140" w:line="300"/>
        <w:jc w:val="both"/>
      </w:pPr>
      <w:r>
        <w:rPr>
          <w:b w:val="false"/>
          <w:bCs w:val="false"/>
          <w:color w:val="1A1A1A"/>
          <w:sz w:val="22"/>
          <w:szCs w:val="22"/>
        </w:rPr>
        <w:t xml:space="preserve">Sobre esa base, la Compañía sitúa los efectos del clima en su estrategia en tres horizontes. En el corto plazo, que abarca hasta un año, los riesgos y oportunidades relacionados con el clima se consideran en función de la liquidez y de las contingencias operativas de la red de sucursales. En el mediano plazo, de más de un año y hasta cinco años, se consideran en relación con la vida promedio de la cartera comercial y de arrendamiento y con el horizonte del plan estratégico. En el largo plazo, de más de cinco años, se consideran en relación con la vida de la cartera hipotecaria, con la resiliencia de la infraestructura propia y con las trayectorias regulatorias y físicas del clima.</w:t>
      </w:r>
    </w:p>
    <w:p>
      <w:pPr>
        <w:spacing w:after="140" w:line="300"/>
        <w:jc w:val="both"/>
      </w:pPr>
      <w:r>
        <w:rPr>
          <w:b w:val="false"/>
          <w:bCs w:val="false"/>
          <w:color w:val="1A1A1A"/>
          <w:sz w:val="22"/>
          <w:szCs w:val="22"/>
        </w:rPr>
        <w:t xml:space="preserve">Esta correspondencia entre la duración de los activos y de los compromisos de la Compañía y los plazos en que se manifiestan los efectos del clima permite vincular los riesgos y oportunidades relacionados con el clima con las decisiones de planeación, de asignación de recursos y de administración de cartera que la Compañía adopta en cada horizonte. Constituye, asimismo, el punto de partida para la identificación de los riesgos climáticos prioritarios, la evaluación de la resiliencia de la estrategia y la definición de objetivos climáticos que se presentan en las secciones correspondientes de este informe.</w:t>
      </w:r>
    </w:p>
    <w:p>
      <w:pPr>
        <w:pStyle w:val="Heading2"/>
        <w:spacing w:after="60" w:before="360"/>
      </w:pPr>
      <w:r>
        <w:rPr>
          <w:b/>
          <w:bCs/>
          <w:color w:val="14302A"/>
          <w:sz w:val="26"/>
          <w:szCs w:val="26"/>
        </w:rPr>
        <w:t xml:space="preserve">Riesgos climáticos prioritarios</w:t>
      </w:r>
    </w:p>
    <w:p>
      <w:pPr>
        <w:spacing w:after="180"/>
      </w:pPr>
      <w:r>
        <w:rPr>
          <w:color w:val="8A6D1B"/>
          <w:sz w:val="16"/>
          <w:szCs w:val="16"/>
        </w:rPr>
        <w:t xml:space="preserve">NIIF S2 10(a), (b)y(c) · NIIF S2 10(d)</w:t>
      </w:r>
    </w:p>
    <w:p>
      <w:pPr>
        <w:spacing w:after="100" w:before="160"/>
      </w:pPr>
      <w:r>
        <w:rPr>
          <w:b/>
          <w:bCs/>
          <w:color w:val="14302A"/>
          <w:sz w:val="22"/>
          <w:szCs w:val="22"/>
        </w:rPr>
        <w:t xml:space="preserve">Riesgos climáticos prioritarios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Riesgo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Tipo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Horizontes</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Descripción</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Nivel</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Huracanes e inundaciones en la red del sureste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Riesgo físico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Corto plazo, Mediano plazo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31 sucursales y el centro operativo de Mérida se ubican en Yucatán, Quintana Roo, Tabasco y Veracruz, zonas de alta incidencia de ciclones. Un evento mayor interrumpe la operación, daña activos propios y afecta la capacidad de pago de acreditados locales.</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Crítico</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Estrés hídrico sobre la cartera agropecuaria del norte y el Bajío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Riesgo físico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Mediano plazo, Largo plazo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El 12% de la cartera es agropecuaria, concentrada en Nuevo León, Coahuila, Guanajuato y Querétaro, regiones con déficit hídrico creciente. La menor disponibilidad de agua reduce rendimientos y capacidad de pago.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Alto</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Precio al carbono y regulación sobre sectores intensivos en la cartera empresarial</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Riesgo de transición</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Mediano plazo, Largo plazo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El 18% de la cartera empresarial está en cemento, acero, transporte de carga y generación eléctrica convencional. Un precio al carbono o normas de emisiones más estrictas elevan sus costos y reducen su capacidad de pago.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Medio</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Expectativas de inversionistas y taxonomía sostenible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Riesgo de transición</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Corto plazo, Mediano plazo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Los inversionistas institucionales que adquieren la deuda del grupo exigen alineación con la Taxonomía Sostenible de México y divulgación climática; no cumplirla encarece el financiamiento.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Medio</w:t>
            </w:r>
          </w:p>
        </w:tc>
      </w:tr>
    </w:tbl>
    <w:p>
      <w:pPr>
        <w:spacing w:after="200"/>
      </w:pPr>
    </w:p>
    <w:p>
      <w:pPr>
        <w:spacing w:after="140" w:line="300"/>
        <w:jc w:val="both"/>
      </w:pPr>
      <w:r>
        <w:rPr>
          <w:b w:val="false"/>
          <w:bCs w:val="false"/>
          <w:color w:val="1A1A1A"/>
          <w:sz w:val="22"/>
          <w:szCs w:val="22"/>
        </w:rPr>
        <w:t xml:space="preserve">Empresa Demo, S.A.B. de C.V. identificó cuatro riesgos relacionados con el clima que podrían afectar razonablemente sus perspectivas durante el ejercicio 2025, dos de naturaleza física y dos de transición, tal como se presentan en la tabla anterior. Los riesgos físicos comprenden un evento agudo, asociado a la incidencia de ciclones en el sureste del país, y uno crónico, asociado al déficit hídrico en las regiones agropecuarias del norte y el Bajío. Los riesgos de transición se derivan de la regulación climática sobre los sectores intensivos en carbono presentes en la cartera empresarial y de las expectativas de los inversionistas institucionales que adquieren la deuda de la Compañía. La forma en que la Compañía define el corto, el medio y el largo plazo, y la vinculación de esas definiciones con los horizontes de planificación que utiliza para la toma de decisiones estratégicas, se explican en la sección de horizontes temporales de este informe.</w:t>
      </w:r>
    </w:p>
    <w:p>
      <w:pPr>
        <w:spacing w:after="140" w:line="300"/>
        <w:jc w:val="both"/>
      </w:pPr>
      <w:r>
        <w:rPr>
          <w:b w:val="false"/>
          <w:bCs w:val="false"/>
          <w:color w:val="1A1A1A"/>
          <w:sz w:val="22"/>
          <w:szCs w:val="22"/>
        </w:rPr>
        <w:t xml:space="preserve">El riesgo de huracanes e inundaciones se concentra en la operación y la red de sucursales, así como en la administración de la cartera hipotecaria y pyme del sureste. Su materialización provocaría el cierre temporal de sucursales, daños a inmuebles y equipo, deterioro de cartera por la afectación de los clientes y mayores primas de seguro. La Compañía cuenta con un plan de continuidad con respaldo operativo en Monterrey, con cobertura de seguros de daños e interrupción, y con un protocolo de reestructuras para los acreditados afectados por desastres declarados.</w:t>
      </w:r>
    </w:p>
    <w:p>
      <w:pPr>
        <w:spacing w:after="140" w:line="300"/>
        <w:jc w:val="both"/>
      </w:pPr>
      <w:r>
        <w:rPr>
          <w:b w:val="false"/>
          <w:bCs w:val="false"/>
          <w:color w:val="1A1A1A"/>
          <w:sz w:val="22"/>
          <w:szCs w:val="22"/>
        </w:rPr>
        <w:t xml:space="preserve">El riesgo de estrés hídrico se concentra en la originación y la administración de la cartera agropecuaria. De materializarse, ocasionaría un aumento de la cartera vencida y de las reservas, una disminución del valor de las garantías rurales y una reducción de la originación en el sector. Como respuesta, la Compañía incorporó desde 2025 criterios de disponibilidad hídrica en la evaluación del crédito agropecuario, ofrece productos de financiamiento para riego tecnificado y da seguimiento trimestral a la cartera expuesta.</w:t>
      </w:r>
    </w:p>
    <w:p>
      <w:pPr>
        <w:spacing w:after="140" w:line="300"/>
        <w:jc w:val="both"/>
      </w:pPr>
      <w:r>
        <w:rPr>
          <w:b w:val="false"/>
          <w:bCs w:val="false"/>
          <w:color w:val="1A1A1A"/>
          <w:sz w:val="22"/>
          <w:szCs w:val="22"/>
        </w:rPr>
        <w:t xml:space="preserve">El riesgo asociado a un precio al carbono y a una regulación más estricta sobre sectores intensivos se concentra en la originación y la administración de la cartera empresarial. Sus impactos potenciales incluyen el deterioro de la calificación de los acreditados, mayores reservas y la presencia de activos varados como colateral. La Compañía clasifica su cartera por intensidad de carbono a nivel sectorial, aplica límites de concentración en sectores intensivos aprobados por el Comité de Riesgos y acompaña a sus acreditados en sus planes de transición.</w:t>
      </w:r>
    </w:p>
    <w:p>
      <w:pPr>
        <w:spacing w:after="140" w:line="300"/>
        <w:jc w:val="both"/>
      </w:pPr>
      <w:r>
        <w:rPr>
          <w:b w:val="false"/>
          <w:bCs w:val="false"/>
          <w:color w:val="1A1A1A"/>
          <w:sz w:val="22"/>
          <w:szCs w:val="22"/>
        </w:rPr>
        <w:t xml:space="preserve">El riesgo derivado de las expectativas de los inversionistas y de la taxonomía sostenible se concentra en las funciones de captación y tesorería. Su materialización implicaría un mayor costo de fondeo, una menor demanda en las emisiones de deuda y la exclusión de índices sostenibles. Para gestionarlo, la Compañía cuenta con una Política de Financiamiento Sostenible, con un marco de bonos verdes que dispone de opinión de segunda parte y con un reporte anual de asignación e impacto de los recursos captados bajo dicho marco.</w:t>
      </w:r>
    </w:p>
    <w:p>
      <w:pPr>
        <w:spacing w:after="140" w:line="300"/>
        <w:jc w:val="both"/>
      </w:pPr>
      <w:r>
        <w:rPr>
          <w:b w:val="false"/>
          <w:bCs w:val="false"/>
          <w:color w:val="1A1A1A"/>
          <w:sz w:val="22"/>
          <w:szCs w:val="22"/>
        </w:rPr>
        <w:t xml:space="preserve">Las métricas de exposición y de despliegue de capital asociadas a cada uno de estos riesgos, así como los efectos financieros actuales y previstos que se les atribuyen, se presentan en las secciones correspondientes de este informe.</w:t>
      </w:r>
    </w:p>
    <w:p>
      <w:pPr>
        <w:pStyle w:val="Heading2"/>
        <w:spacing w:after="60" w:before="360"/>
      </w:pPr>
      <w:r>
        <w:rPr>
          <w:b/>
          <w:bCs/>
          <w:color w:val="14302A"/>
          <w:sz w:val="26"/>
          <w:szCs w:val="26"/>
        </w:rPr>
        <w:t xml:space="preserve">Cambios en modelo de negocio y asignación de recursos</w:t>
      </w:r>
    </w:p>
    <w:p>
      <w:pPr>
        <w:spacing w:after="180"/>
      </w:pPr>
      <w:r>
        <w:rPr>
          <w:color w:val="8A6D1B"/>
          <w:sz w:val="16"/>
          <w:szCs w:val="16"/>
        </w:rPr>
        <w:t xml:space="preserve">NIIF S2 14(a)(i) · NIIF S2 14(a)(ii)</w:t>
      </w:r>
    </w:p>
    <w:p>
      <w:pPr>
        <w:spacing w:after="140" w:line="300"/>
        <w:jc w:val="both"/>
      </w:pPr>
      <w:r>
        <w:rPr>
          <w:b w:val="false"/>
          <w:bCs w:val="false"/>
          <w:color w:val="1A1A1A"/>
          <w:sz w:val="22"/>
          <w:szCs w:val="22"/>
        </w:rPr>
        <w:t xml:space="preserve">Durante 2025, Empresa Demo, S.A.B. de C.V. introdujo cambios en su modelo de negocio y en la asignación de sus recursos para abordar los riesgos y oportunidades relacionados con el clima. Estos cambios se orientan a acotar la exposición de la cartera a sectores intensivos en carbono, a desarrollar la capacidad de originar financiamiento sostenible y a reducir las emisiones de gases de efecto invernadero generadas por la operación propia.</w:t>
      </w:r>
    </w:p>
    <w:p>
      <w:pPr>
        <w:spacing w:after="140" w:line="300"/>
        <w:jc w:val="both"/>
      </w:pPr>
      <w:r>
        <w:rPr>
          <w:b w:val="false"/>
          <w:bCs w:val="false"/>
          <w:color w:val="1A1A1A"/>
          <w:sz w:val="22"/>
          <w:szCs w:val="22"/>
        </w:rPr>
        <w:t xml:space="preserve">En el ejercicio, la Compañía aprobó límites de concentración para sectores intensivos en carbono, creó una unidad de financiamiento sostenible dentro de la Dirección de Crédito, integrada por seis personas, y destinó 31 millones de pesos a eficiencia energética en su red.</w:t>
      </w:r>
    </w:p>
    <w:p>
      <w:pPr>
        <w:spacing w:after="140" w:line="300"/>
        <w:jc w:val="both"/>
      </w:pPr>
      <w:r>
        <w:rPr>
          <w:b w:val="false"/>
          <w:bCs w:val="false"/>
          <w:color w:val="1A1A1A"/>
          <w:sz w:val="22"/>
          <w:szCs w:val="22"/>
        </w:rPr>
        <w:t xml:space="preserve">Los esfuerzos directos de reducción y adaptación actualmente en curso comprenden el programa de eficiencia energética 2025-2027, la generación solar distribuida en 40 sucursales y la renovación gradual de la flota.</w:t>
      </w:r>
    </w:p>
    <w:p>
      <w:pPr>
        <w:spacing w:after="140" w:line="300"/>
        <w:jc w:val="both"/>
      </w:pPr>
      <w:r>
        <w:rPr>
          <w:b w:val="false"/>
          <w:bCs w:val="false"/>
          <w:color w:val="1A1A1A"/>
          <w:sz w:val="22"/>
          <w:szCs w:val="22"/>
        </w:rPr>
        <w:t xml:space="preserve">Para periodos subsecuentes, el plan 2026-2027 asigna 61 millones de pesos adicionales al programa de eficiencia energética de la red, con los que se completa el monto de 92 millones de pesos previsto para dicho programa; 12 millones de pesos a la medición conforme a la metodología PCAF y a sistemas de datos climáticos; y cuatro plazas adicionales en la unidad de financiamiento sostenible.</w:t>
      </w:r>
    </w:p>
    <w:p>
      <w:pPr>
        <w:spacing w:after="140" w:line="300"/>
        <w:jc w:val="both"/>
      </w:pPr>
      <w:r>
        <w:rPr>
          <w:b w:val="false"/>
          <w:bCs w:val="false"/>
          <w:color w:val="1A1A1A"/>
          <w:sz w:val="22"/>
          <w:szCs w:val="22"/>
        </w:rPr>
        <w:t xml:space="preserve">Los recursos destinados a estas iniciativas se aprueban en el presupuesto anual de la Compañía, y su ejecución es revisada trimestralmente por el Comité de Sostenibilidad y Riesgos Climáticos.</w:t>
      </w:r>
    </w:p>
    <w:p>
      <w:pPr>
        <w:pStyle w:val="Heading2"/>
        <w:spacing w:after="60" w:before="360"/>
      </w:pPr>
      <w:r>
        <w:rPr>
          <w:b/>
          <w:bCs/>
          <w:color w:val="14302A"/>
          <w:sz w:val="26"/>
          <w:szCs w:val="26"/>
        </w:rPr>
        <w:t xml:space="preserve">Esfuerzos directos e indirectos de reducción y adaptación</w:t>
      </w:r>
    </w:p>
    <w:p>
      <w:pPr>
        <w:spacing w:after="180"/>
      </w:pPr>
      <w:r>
        <w:rPr>
          <w:color w:val="8A6D1B"/>
          <w:sz w:val="16"/>
          <w:szCs w:val="16"/>
        </w:rPr>
        <w:t xml:space="preserve">NIIF S2 14(a)(iii)</w:t>
      </w:r>
    </w:p>
    <w:p>
      <w:pPr>
        <w:spacing w:after="140" w:line="300"/>
        <w:jc w:val="both"/>
      </w:pPr>
      <w:r>
        <w:rPr>
          <w:b w:val="false"/>
          <w:bCs w:val="false"/>
          <w:color w:val="1A1A1A"/>
          <w:sz w:val="22"/>
          <w:szCs w:val="22"/>
        </w:rPr>
        <w:t xml:space="preserve">Empresa Demo, S.A.B. de C.V. ejerce sus esfuerzos de reducción de emisiones de gases de efecto invernadero y de adaptación al cambio climático de manera indirecta a través de su cartera, es decir, mediante los productos de financiamiento que otorga y mediante la relación que mantiene con sus acreditados y proveedores. Estos esfuerzos indirectos se describen a continuación distinguiendo los que se encuentran en curso durante el ejercicio 2025 de los previstos para los ejercicios 2026 y 2027.</w:t>
      </w:r>
    </w:p>
    <w:p>
      <w:pPr>
        <w:spacing w:after="140" w:line="300"/>
        <w:jc w:val="both"/>
      </w:pPr>
      <w:r>
        <w:rPr>
          <w:b w:val="false"/>
          <w:bCs w:val="false"/>
          <w:color w:val="1A1A1A"/>
          <w:sz w:val="22"/>
          <w:szCs w:val="22"/>
        </w:rPr>
        <w:t xml:space="preserve">Durante el ejercicio sobre el que se informa, los esfuerzos indirectos actuales de la Compañía comprenden dos vertientes. La primera consiste en productos de crédito destinados a la eficiencia energética y al riego tecnificado, con los que se canaliza financiamiento hacia inversiones de los acreditados que reducen el consumo de energía y de agua en sus actividades. La segunda consiste en el acompañamiento a acreditados de sectores intensivos en emisiones en la formulación de sus propios planes de transición, con el propósito de que dichos acreditados definan trayectorias de reducción y medidas de adaptación en sus operaciones.</w:t>
      </w:r>
    </w:p>
    <w:p>
      <w:pPr>
        <w:spacing w:after="140" w:line="300"/>
        <w:jc w:val="both"/>
      </w:pPr>
      <w:r>
        <w:rPr>
          <w:b w:val="false"/>
          <w:bCs w:val="false"/>
          <w:color w:val="1A1A1A"/>
          <w:sz w:val="22"/>
          <w:szCs w:val="22"/>
        </w:rPr>
        <w:t xml:space="preserve">Para los ejercicios 2026 y 2027, la Compañía prevé cuatro esfuerzos indirectos adicionales. En primer lugar, ampliar la línea de crédito para riego tecnificado hasta 1,200 millones de pesos. En segundo lugar, lanzar un producto de crédito para vivienda que cuente con certificación de eficiencia energética. En tercer lugar, extender el acompañamiento en la formulación de planes de transición al 100% de los acreditados con exposición superior a 150 millones de pesos que operen en sectores intensivos en emisiones. En cuarto lugar, incorporar criterios climáticos en la evaluación de los veinte principales proveedores de la Compañía, de modo que las consideraciones de reducción y adaptación alcancen también a su cadena de suministro.</w:t>
      </w:r>
    </w:p>
    <w:p>
      <w:pPr>
        <w:spacing w:after="140" w:line="300"/>
        <w:jc w:val="both"/>
      </w:pPr>
      <w:r>
        <w:rPr>
          <w:b w:val="false"/>
          <w:bCs w:val="false"/>
          <w:color w:val="1A1A1A"/>
          <w:sz w:val="22"/>
          <w:szCs w:val="22"/>
        </w:rPr>
        <w:t xml:space="preserve">La Compañía dará seguimiento a la ejecución de estos esfuerzos previstos en los periodos subsecuentes y actualizará la información sobre su avance conforme se materialicen.</w:t>
      </w:r>
    </w:p>
    <w:p>
      <w:pPr>
        <w:pStyle w:val="Heading2"/>
        <w:spacing w:after="60" w:before="360"/>
      </w:pPr>
      <w:r>
        <w:rPr>
          <w:b/>
          <w:bCs/>
          <w:color w:val="14302A"/>
          <w:sz w:val="26"/>
          <w:szCs w:val="26"/>
        </w:rPr>
        <w:t xml:space="preserve">Oportunidades y cómo prevé alcanzar objetivos</w:t>
      </w:r>
    </w:p>
    <w:p>
      <w:pPr>
        <w:spacing w:after="140" w:line="300"/>
        <w:jc w:val="both"/>
      </w:pPr>
      <w:r>
        <w:rPr>
          <w:b w:val="false"/>
          <w:bCs w:val="false"/>
          <w:color w:val="1A1A1A"/>
          <w:sz w:val="22"/>
          <w:szCs w:val="22"/>
        </w:rPr>
        <w:t xml:space="preserve">Empresa Demo, S.A.B. de C.V. identificó dos oportunidades relacionadas con el clima con efecto previsible sobre su situación financiera, rendimiento financiero y flujos de efectivo: el financiamiento sostenible a pymes y vivienda eficiente, y la eficiencia operativa de su red de sucursales. Ambas se vinculan de manera directa con los objetivos climáticos que la Compañía fijó para el periodo 2026-2030, de modo que la forma en que prevé aprovecharlas coincide con la forma en que prevé alcanzar dichos objetivos.</w:t>
      </w:r>
    </w:p>
    <w:p>
      <w:pPr>
        <w:spacing w:after="140" w:line="300"/>
        <w:jc w:val="both"/>
      </w:pPr>
      <w:r>
        <w:rPr>
          <w:b w:val="false"/>
          <w:bCs w:val="false"/>
          <w:color w:val="1A1A1A"/>
          <w:sz w:val="22"/>
          <w:szCs w:val="22"/>
        </w:rPr>
        <w:t xml:space="preserve">La primera oportunidad se concentra en la originación de crédito y en la captación. Consiste en el crecimiento de la cartera con etiqueta verde, que abarca eficiencia energética, vivienda con certificación y energía distribuida, y en el acceso a fondeo de menor costo asociado a esa cartera. Sus efectos potenciales son mayores ingresos por intereses en segmentos de crecimiento, un menor costo de fondeo y la diferenciación de la oferta, en horizontes de corto y mediano plazo. Para materializarla, la Compañía estableció el objetivo de llevar la cartera con etiqueta sostenible, conforme a la Taxonomía Sostenible de México, del 8.0% de la cartera total en 2025 al 20% en 2028, con un hito intermedio de 12% en 2026. El avance descansa en alianzas con la banca de desarrollo, en la conciliación semestral del saldo etiquetado con la Dirección de Crédito y en la revisión semestral por parte del Comité de Sostenibilidad y Riesgos Climáticos.</w:t>
      </w:r>
    </w:p>
    <w:p>
      <w:pPr>
        <w:spacing w:after="140" w:line="300"/>
        <w:jc w:val="both"/>
      </w:pPr>
      <w:r>
        <w:rPr>
          <w:b w:val="false"/>
          <w:bCs w:val="false"/>
          <w:color w:val="1A1A1A"/>
          <w:sz w:val="22"/>
          <w:szCs w:val="22"/>
        </w:rPr>
        <w:t xml:space="preserve">La segunda oportunidad se concentra en la operación y la red de sucursales. Comprende la reducción del consumo eléctrico mediante iluminación LED, climatización eficiente y generación solar distribuida en 40 sucursales, con horizonte de corto plazo, y sus efectos previstos son un menor gasto operativo y menores emisiones de Alcance 2. Esta oportunidad constituye el vehículo del objetivo de reducir en 30% las emisiones brutas de Alcances 1 y 2 al 2030 respecto del periodo base 2025, con un hito de 12% al 2027, al que se suma la renovación de la flota. La Compañía prevé alcanzarlo mediante un programa 2025-2027 con una inversión de 92 millones de pesos, el seguimiento trimestral del consumo y de las emisiones por sucursal y la revisión anual por el mismo Comité.</w:t>
      </w:r>
    </w:p>
    <w:p>
      <w:pPr>
        <w:pStyle w:val="Heading2"/>
        <w:spacing w:after="60" w:before="360"/>
      </w:pPr>
      <w:r>
        <w:rPr>
          <w:b/>
          <w:bCs/>
          <w:color w:val="14302A"/>
          <w:sz w:val="26"/>
          <w:szCs w:val="26"/>
        </w:rPr>
        <w:t xml:space="preserve">Recursos asignados y progreso de planes</w:t>
      </w:r>
    </w:p>
    <w:p>
      <w:pPr>
        <w:spacing w:after="180"/>
      </w:pPr>
      <w:r>
        <w:rPr>
          <w:color w:val="8A6D1B"/>
          <w:sz w:val="16"/>
          <w:szCs w:val="16"/>
        </w:rPr>
        <w:t xml:space="preserve">NIIF S2 14(a)(v) · NIIF S2 14(b) · NIIF S2 14(c)</w:t>
      </w:r>
    </w:p>
    <w:p>
      <w:pPr>
        <w:spacing w:after="140" w:line="300"/>
        <w:jc w:val="both"/>
      </w:pPr>
      <w:r>
        <w:rPr>
          <w:b w:val="false"/>
          <w:bCs w:val="false"/>
          <w:color w:val="1A1A1A"/>
          <w:sz w:val="22"/>
          <w:szCs w:val="22"/>
        </w:rPr>
        <w:t xml:space="preserve">Empresa Demo, S.A.B. de C.V. prevé alcanzar sus objetivos relacionados con el clima mediante el plan de transición 2025-2030, que establece una reducción de 30% de las emisiones de gases de efecto invernadero de Alcance 1 y Alcance 2 respecto de 2025, una cartera sostenible equivalente a al menos 20% de la cartera total en 2028 y la medición de emisiones financiadas conforme a la metodología PCAF sobre 80% de la cartera empresarial en 2027. Los recursos que sostienen estas actividades se aprueban en el presupuesto anual y su ejecución la revisa cada trimestre el Comité de Sostenibilidad y Riesgos Climáticos.</w:t>
      </w:r>
    </w:p>
    <w:p>
      <w:pPr>
        <w:spacing w:after="140" w:line="300"/>
        <w:jc w:val="both"/>
      </w:pPr>
      <w:r>
        <w:rPr>
          <w:b w:val="false"/>
          <w:bCs w:val="false"/>
          <w:color w:val="1A1A1A"/>
          <w:sz w:val="22"/>
          <w:szCs w:val="22"/>
        </w:rPr>
        <w:t xml:space="preserve">Durante 2025 la Compañía destinó 31 millones de pesos a eficiencia energética en la red y constituyó una unidad de financiamiento sostenible dentro de la Dirección de Crédito, integrada por seis personas. Para el periodo 2026-2027, el plan asigna 61 millones de pesos adicionales al programa de eficiencia energética de la red, con los que se completa un monto de 92 millones de pesos para dicho programa; 12 millones de pesos a la medición de emisiones financiadas bajo PCAF y a los sistemas de datos climáticos; y cuatro plazas adicionales en la unidad de financiamiento sostenible.</w:t>
      </w:r>
    </w:p>
    <w:p>
      <w:pPr>
        <w:spacing w:after="140" w:line="300"/>
        <w:jc w:val="both"/>
      </w:pPr>
      <w:r>
        <w:rPr>
          <w:b w:val="false"/>
          <w:bCs w:val="false"/>
          <w:color w:val="1A1A1A"/>
          <w:sz w:val="22"/>
          <w:szCs w:val="22"/>
        </w:rPr>
        <w:t xml:space="preserve">El ejercicio 2025 es el primero sobre el que la Compañía informa conforme a las Normas NIIF S1 y S2, por lo que no existen planes revelados en periodos anteriores respecto de los cuales reportar avances. Como punto de partida para periodos subsecuentes, en 2025 se cumplieron la creación del Comité de Sostenibilidad y Riesgos Climáticos, la constitución de la unidad de financiamiento sostenible y la primera evaluación de riesgos físicos de la cartera. Asimismo, la medición de emisiones financiadas alcanzó 42% de la cartera empresarial, con calidad de datos de nivel 4 y 5 conforme a la escala PCAF. La Compañía informará el progreso de estos planes, en términos cuantitativos y cualitativos, en los periodos siguientes.</w:t>
      </w:r>
    </w:p>
    <w:p>
      <w:pPr>
        <w:pStyle w:val="Heading2"/>
        <w:spacing w:after="60" w:before="360"/>
      </w:pPr>
      <w:r>
        <w:rPr>
          <w:b/>
          <w:bCs/>
          <w:color w:val="14302A"/>
          <w:sz w:val="26"/>
          <w:szCs w:val="26"/>
        </w:rPr>
        <w:t xml:space="preserve">Resiliencia de la estrategia y análisis de escenarios</w:t>
      </w:r>
    </w:p>
    <w:p>
      <w:pPr>
        <w:spacing w:after="180"/>
      </w:pPr>
      <w:r>
        <w:rPr>
          <w:color w:val="8A6D1B"/>
          <w:sz w:val="16"/>
          <w:szCs w:val="16"/>
        </w:rPr>
        <w:t xml:space="preserve">NIIF S2 22(a)(i) · NIIF S2 22(a)(ii) · NIIF S2 22(a)(iii) · NIIF S2 22(b)(i) · NIIF S2 22(b)(ii) · NIIF S2 22(b)(iii)</w:t>
      </w:r>
    </w:p>
    <w:p>
      <w:pPr>
        <w:spacing w:after="140" w:line="300"/>
        <w:jc w:val="both"/>
      </w:pPr>
      <w:r>
        <w:rPr>
          <w:b w:val="false"/>
          <w:bCs w:val="false"/>
          <w:color w:val="1A1A1A"/>
          <w:sz w:val="22"/>
          <w:szCs w:val="22"/>
        </w:rPr>
        <w:t xml:space="preserve">Empresa Demo, S.A.B. de C.V. evaluó la resiliencia de su estrategia y de su modelo de negocio mediante un análisis de escenarios relacionados con el clima llevado a cabo en el segundo semestre del ejercicio 2025, con actualización anual prevista. El análisis consideró dos escenarios de fase IV: transición ordenada (NGFS Net Zero 2050) y altas emisiones (IPCC SSP5-8.5 / NGFS Current Policies), tomados de NGFS fase IV e IPCC AR6. El rango es diverso, abarca riesgos físicos y riesgos de transición relacionados con el clima e incluye un escenario alineado con el último acuerdo internacional sobre cambio climático; ambos se consideran relevantes por representar el rango plausible de trayectorias regulatorias y físicas de los mercados en los que opera la Compañía. El método fue cualitativo, apoyado en la sensibilidad de la cartera por sector y en la exposición física por código postal, y se aplicó a los horizontes de corto plazo (2026), mediano plazo (2030) y largo plazo (2040) sobre la red de sucursales y las carteras empresarial, agropecuaria e hipotecaria.</w:t>
      </w:r>
    </w:p>
    <w:p>
      <w:pPr>
        <w:spacing w:after="140" w:line="300"/>
        <w:jc w:val="both"/>
      </w:pPr>
      <w:r>
        <w:rPr>
          <w:b w:val="false"/>
          <w:bCs w:val="false"/>
          <w:color w:val="1A1A1A"/>
          <w:sz w:val="22"/>
          <w:szCs w:val="22"/>
        </w:rPr>
        <w:t xml:space="preserve">Los supuestos clave del análisis fueron un precio al carbono con introducción gradual desde 2027 y de 500 pesos por tonelada en 2030 en el escenario de transición ordenada; un crecimiento del PIB de 2% anual con inflación convergiendo a 3%; un incremento de 15% en la frecuencia de ciclones de categoría 3 o mayor en el Golfo y el Caribe al 2040 y una reducción de 10% en la disponibilidad hídrica en el Bajío al 2035; y 40% de generación limpia en la matriz nacional al 2030 en el escenario de transición ordenada.</w:t>
      </w:r>
    </w:p>
    <w:p>
      <w:pPr>
        <w:spacing w:after="140" w:line="300"/>
        <w:jc w:val="both"/>
      </w:pPr>
      <w:r>
        <w:rPr>
          <w:b w:val="false"/>
          <w:bCs w:val="false"/>
          <w:color w:val="1A1A1A"/>
          <w:sz w:val="22"/>
          <w:szCs w:val="22"/>
        </w:rPr>
        <w:t xml:space="preserve">Bajo el escenario de transición ordenada, el modelo de negocio se beneficia del crecimiento de la cartera sostenible y del menor costo de fondeo, y el principal ajuste que la Compañía necesitaría es la reducción gradual de su exposición a sectores intensivos. Bajo el escenario de altas emisiones, los riesgos físicos sobre la red del sureste y la cartera agropecuaria exigirían mayores reservas, seguros y reestructuras, con un efecto acotado sobre el capital regulatorio.</w:t>
      </w:r>
    </w:p>
    <w:p>
      <w:pPr>
        <w:spacing w:after="140" w:line="300"/>
        <w:jc w:val="both"/>
      </w:pPr>
      <w:r>
        <w:rPr>
          <w:b w:val="false"/>
          <w:bCs w:val="false"/>
          <w:color w:val="1A1A1A"/>
          <w:sz w:val="22"/>
          <w:szCs w:val="22"/>
        </w:rPr>
        <w:t xml:space="preserve">Las áreas significativas de incertidumbre consideradas en la evaluación son la calidad de los datos de emisiones financiadas, la evolución de la Taxonomía Sostenible de México y de la regulación de la CNBV, la frecuencia e intensidad de ciclones en el Golfo y el Caribe, y el comportamiento de los precios agrícolas ante sequías prolongadas.</w:t>
      </w:r>
    </w:p>
    <w:p>
      <w:pPr>
        <w:spacing w:after="140" w:line="300"/>
        <w:jc w:val="both"/>
      </w:pPr>
      <w:r>
        <w:rPr>
          <w:b w:val="false"/>
          <w:bCs w:val="false"/>
          <w:color w:val="1A1A1A"/>
          <w:sz w:val="22"/>
          <w:szCs w:val="22"/>
        </w:rPr>
        <w:t xml:space="preserve">En cuanto a su capacidad de ajustar la estrategia y el modelo de negocio a corto, mediano y largo plazo, la Compañía mantiene capital por encima de los mínimos regulatorios, liquidez suficiente y una cartera de vida promedio corta en el segmento empresarial (2.8 años), lo que le permite reorientar la originación en horizontes de mediano plazo. Las inversiones planeadas en eficiencia y en productos sostenibles refuerzan esa capacidad.</w:t>
      </w:r>
    </w:p>
    <w:p>
      <w:pPr>
        <w:pStyle w:val="Heading1"/>
        <w:pageBreakBefore/>
        <w:spacing w:after="240" w:before="240"/>
      </w:pPr>
      <w:r>
        <w:rPr>
          <w:b/>
          <w:bCs/>
          <w:color w:val="14302A"/>
          <w:sz w:val="34"/>
          <w:szCs w:val="34"/>
        </w:rPr>
        <w:t xml:space="preserve">IV · Riesgos</w:t>
      </w:r>
    </w:p>
    <w:p>
      <w:pPr>
        <w:pStyle w:val="Heading2"/>
        <w:spacing w:after="60" w:before="360"/>
      </w:pPr>
      <w:r>
        <w:rPr>
          <w:b/>
          <w:bCs/>
          <w:color w:val="14302A"/>
          <w:sz w:val="26"/>
          <w:szCs w:val="26"/>
        </w:rPr>
        <w:t xml:space="preserve">Gestión y mitigación de riesgos y oportunidades</w:t>
      </w:r>
    </w:p>
    <w:p>
      <w:pPr>
        <w:spacing w:after="180"/>
      </w:pPr>
      <w:r>
        <w:rPr>
          <w:color w:val="8A6D1B"/>
          <w:sz w:val="16"/>
          <w:szCs w:val="16"/>
        </w:rPr>
        <w:t xml:space="preserve">NIIF S2 25 (a)(i)a(v) · NIIF S2 25 (a)(vi) · NIIF S2 25 (b) · NIIF S2 25 (c)</w:t>
      </w:r>
    </w:p>
    <w:p>
      <w:pPr>
        <w:spacing w:after="140" w:line="300"/>
        <w:jc w:val="both"/>
      </w:pPr>
      <w:r>
        <w:rPr>
          <w:b w:val="false"/>
          <w:bCs w:val="false"/>
          <w:color w:val="1A1A1A"/>
          <w:sz w:val="22"/>
          <w:szCs w:val="22"/>
        </w:rPr>
        <w:t xml:space="preserve">Empresa Demo, S.A.B. de C.V. gestiona los riesgos y oportunidades relacionados con el clima mediante procesos que forman parte de su marco general de administración de riesgos. La identificación, evaluación, priorización y seguimiento de estos riesgos y oportunidades se realiza con los mismos criterios y herramientas que la Compañía aplica a los riesgos de crédito, de mercado y operacional, de modo que la información resultante se incorpora al mapa corporativo de riesgos y se reporta a través de los órganos ya establecidos para ese fin.</w:t>
      </w:r>
    </w:p>
    <w:p>
      <w:pPr>
        <w:spacing w:after="140" w:line="300"/>
        <w:jc w:val="both"/>
      </w:pPr>
      <w:r>
        <w:rPr>
          <w:b w:val="false"/>
          <w:bCs w:val="false"/>
          <w:color w:val="1A1A1A"/>
          <w:sz w:val="22"/>
          <w:szCs w:val="22"/>
        </w:rPr>
        <w:t xml:space="preserve">Los riesgos relacionados con el clima se identifican a partir de dos análisis complementarios: un análisis de exposición física, basado en la información del Centro Nacional de Prevención de Desastres (CENAPRED), y un análisis de exposición sectorial, basado en la intensidad de carbono de los sectores en los que opera la cartera. Los riesgos identificados se evalúan con la matriz corporativa de probabilidad e impacto, que asigna a cada factor una calificación de 1 a 5 y produce un nivel de severidad de 0 a 25. Con base en esa evaluación, el Comité de Riesgos prioriza los riesgos y los integra al mapa corporativo de riesgos. El seguimiento de los riesgos priorizados se realiza con periodicidad trimestral.</w:t>
      </w:r>
    </w:p>
    <w:p>
      <w:pPr>
        <w:spacing w:after="140" w:line="300"/>
        <w:jc w:val="both"/>
      </w:pPr>
      <w:r>
        <w:rPr>
          <w:b w:val="false"/>
          <w:bCs w:val="false"/>
          <w:color w:val="1A1A1A"/>
          <w:sz w:val="22"/>
          <w:szCs w:val="22"/>
        </w:rPr>
        <w:t xml:space="preserve">Durante el ejercicio 2025 la Compañía no modificó los procesos descritos respecto del periodo anterior, salvo por la incorporación del análisis de exposición física de los colaterales que respaldan su cartera.</w:t>
      </w:r>
    </w:p>
    <w:p>
      <w:pPr>
        <w:spacing w:after="140" w:line="300"/>
        <w:jc w:val="both"/>
      </w:pPr>
      <w:r>
        <w:rPr>
          <w:b w:val="false"/>
          <w:bCs w:val="false"/>
          <w:color w:val="1A1A1A"/>
          <w:sz w:val="22"/>
          <w:szCs w:val="22"/>
        </w:rPr>
        <w:t xml:space="preserve">Los mismos procesos se aplican a la identificación, evaluación, priorización y seguimiento de las oportunidades relacionadas con el clima. Adicionalmente, la Compañía utiliza el análisis de escenarios relacionados con el clima para fundamentar la identificación de oportunidades. El escenario de transición ordenada, al mostrar un crecimiento de la demanda de financiamiento verde y un menor costo de fondeo, fundamentó la meta de cartera sostenible y el producto de vivienda eficiente. El escenario de altas emisiones fundamentó la línea de riego tecnificado, concebida como producto de adaptación para los acreditados del sector agropecuario.</w:t>
      </w:r>
    </w:p>
    <w:p>
      <w:pPr>
        <w:spacing w:after="140" w:line="300"/>
        <w:jc w:val="both"/>
      </w:pPr>
      <w:r>
        <w:rPr>
          <w:b w:val="false"/>
          <w:bCs w:val="false"/>
          <w:color w:val="1A1A1A"/>
          <w:sz w:val="22"/>
          <w:szCs w:val="22"/>
        </w:rPr>
        <w:t xml:space="preserve">De esta forma, los procesos relativos al clima no operan de manera separada, sino que están integrados en el proceso global de gestión de riesgos de la Compañía e informan las decisiones que se adoptan en dicho proceso.</w:t>
      </w:r>
    </w:p>
    <w:p>
      <w:pPr>
        <w:pStyle w:val="Heading2"/>
        <w:spacing w:after="60" w:before="360"/>
      </w:pPr>
      <w:r>
        <w:rPr>
          <w:b/>
          <w:bCs/>
          <w:color w:val="14302A"/>
          <w:sz w:val="26"/>
          <w:szCs w:val="26"/>
        </w:rPr>
        <w:t xml:space="preserve">Plan de transición</w:t>
      </w:r>
    </w:p>
    <w:p>
      <w:pPr>
        <w:spacing w:after="180"/>
      </w:pPr>
      <w:r>
        <w:rPr>
          <w:color w:val="8A6D1B"/>
          <w:sz w:val="16"/>
          <w:szCs w:val="16"/>
        </w:rPr>
        <w:t xml:space="preserve">NIIF S2 14(a)(iv)</w:t>
      </w:r>
    </w:p>
    <w:p>
      <w:pPr>
        <w:spacing w:after="140" w:line="300"/>
        <w:jc w:val="both"/>
      </w:pPr>
      <w:r>
        <w:rPr>
          <w:b w:val="false"/>
          <w:bCs w:val="false"/>
          <w:color w:val="1A1A1A"/>
          <w:sz w:val="22"/>
          <w:szCs w:val="22"/>
        </w:rPr>
        <w:t xml:space="preserve">Empresa Demo, S.A.B. de C.V. cuenta con un plan de transición relacionado con el clima para el periodo 2025-2030, que ordena las acciones mediante las cuales la Compañía prevé adecuar su operación y su cartera a una economía de menores emisiones de gases de efecto invernadero. El plan es de ámbito climático y alcanza a toda la Compañía, con excepción del componente relativo a emisiones financiadas, que se acota a la cartera empresarial.</w:t>
      </w:r>
    </w:p>
    <w:p>
      <w:pPr>
        <w:spacing w:after="140" w:line="300"/>
        <w:jc w:val="both"/>
      </w:pPr>
      <w:r>
        <w:rPr>
          <w:b w:val="false"/>
          <w:bCs w:val="false"/>
          <w:color w:val="1A1A1A"/>
          <w:sz w:val="22"/>
          <w:szCs w:val="22"/>
        </w:rPr>
        <w:t xml:space="preserve">El plan se articula en cuatro componentes. El primero consiste en reducir en 30% las emisiones brutas de gases de efecto invernadero de Alcance 1 y Alcance 2 respecto de las registradas en 2025, con un periodo de aplicación de 2026 a 2030. El segundo consiste en que la cartera sostenible represente al menos 20% de la cartera total en 2028, tomando como referencia la Taxonomía Sostenible de México. El tercero consiste en medir las emisiones financiadas conforme a la metodología del Partnership for Carbon Accounting Financials (PCAF) para el 80% de la cartera empresarial en 2027. El cuarto establece la revisión anual de los límites sectoriales aplicables al otorgamiento de crédito. Los atributos de cada objetivo, sus hitos intermedios y su seguimiento se describen en la sección de objetivos climáticos de este informe.</w:t>
      </w:r>
    </w:p>
    <w:p>
      <w:pPr>
        <w:spacing w:after="140" w:line="300"/>
        <w:jc w:val="both"/>
      </w:pPr>
      <w:r>
        <w:rPr>
          <w:b w:val="false"/>
          <w:bCs w:val="false"/>
          <w:color w:val="1A1A1A"/>
          <w:sz w:val="22"/>
          <w:szCs w:val="22"/>
        </w:rPr>
        <w:t xml:space="preserve">El desarrollo del plan se sustenta en tres supuestos clave. El primero es la continuidad de la Taxonomía Sostenible de México como marco de referencia para la clasificación de la cartera sostenible. El segundo es la disponibilidad de fondeo verde proveniente de la banca de desarrollo, del que depende el crecimiento previsto de la cartera sostenible. El tercero es la trayectoria regulatoria de la Comisión Nacional Bancaria y de Valores en materia de riesgos relacionados con el clima, que condiciona tanto el calendario de medición de emisiones financiadas como la definición de los límites sectoriales.</w:t>
      </w:r>
    </w:p>
    <w:p>
      <w:pPr>
        <w:spacing w:after="140" w:line="300"/>
        <w:jc w:val="both"/>
      </w:pPr>
      <w:r>
        <w:rPr>
          <w:b w:val="false"/>
          <w:bCs w:val="false"/>
          <w:color w:val="1A1A1A"/>
          <w:sz w:val="22"/>
          <w:szCs w:val="22"/>
        </w:rPr>
        <w:t xml:space="preserve">Estas dependencias son externas a la Compañía. Una modificación sustancial en cualquiera de ellas, en particular en la disponibilidad de fondeo verde o en el marco taxonómico, podría requerir el ajuste de los componentes del plan o de sus plazos. El plan y sus supuestos se revisan anualmente junto con los límites sectoriales.</w:t>
      </w:r>
    </w:p>
    <w:p>
      <w:pPr>
        <w:pStyle w:val="Heading1"/>
        <w:pageBreakBefore/>
        <w:spacing w:after="240" w:before="240"/>
      </w:pPr>
      <w:r>
        <w:rPr>
          <w:b/>
          <w:bCs/>
          <w:color w:val="14302A"/>
          <w:sz w:val="34"/>
          <w:szCs w:val="34"/>
        </w:rPr>
        <w:t xml:space="preserve">V · Métricas y objetivos</w:t>
      </w:r>
    </w:p>
    <w:p>
      <w:pPr>
        <w:pStyle w:val="Heading2"/>
        <w:spacing w:after="60" w:before="360"/>
      </w:pPr>
      <w:r>
        <w:rPr>
          <w:b/>
          <w:bCs/>
          <w:color w:val="14302A"/>
          <w:sz w:val="26"/>
          <w:szCs w:val="26"/>
        </w:rPr>
        <w:t xml:space="preserve">Emisiones GEI Alcance 1 y 2 (+ Alcance 3 según régimen)</w:t>
      </w:r>
    </w:p>
    <w:p>
      <w:pPr>
        <w:spacing w:after="180"/>
      </w:pPr>
      <w:r>
        <w:rPr>
          <w:color w:val="8A6D1B"/>
          <w:sz w:val="16"/>
          <w:szCs w:val="16"/>
        </w:rPr>
        <w:t xml:space="preserve">NIIF S2 29 (a)(i) · NIIF S2 EI14 a E18 · NIIF S2 EI19 a EI24</w:t>
      </w:r>
    </w:p>
    <w:p>
      <w:pPr>
        <w:spacing w:after="100" w:before="160"/>
      </w:pPr>
      <w:r>
        <w:rPr>
          <w:b/>
          <w:bCs/>
          <w:color w:val="14302A"/>
          <w:sz w:val="22"/>
          <w:szCs w:val="22"/>
        </w:rPr>
        <w:t xml:space="preserve">Emisiones brutas absolutas de gases de efecto invernadero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Concepto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Valor</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Unidad</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Ejercicio</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Inventario GEI Alcance 1 con memoria de cálculo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1,240</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tCO2e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2025</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Consumo de combustibles fósiles 2025</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488,000</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litros</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2025</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Inventario GEI Alcance 2 (ubicación y mercado)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3,860</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tCO2e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2025</w:t>
            </w:r>
          </w:p>
        </w:tc>
      </w:tr>
    </w:tbl>
    <w:p>
      <w:pPr>
        <w:spacing w:after="200"/>
      </w:pPr>
    </w:p>
    <w:p>
      <w:pPr>
        <w:spacing w:after="140" w:line="300"/>
        <w:jc w:val="both"/>
      </w:pPr>
      <w:r>
        <w:rPr>
          <w:b w:val="false"/>
          <w:bCs w:val="false"/>
          <w:color w:val="1A1A1A"/>
          <w:sz w:val="22"/>
          <w:szCs w:val="22"/>
        </w:rPr>
        <w:t xml:space="preserve">Empresa Demo, S.A.B. de C.V. revela sus emisiones brutas absolutas de gases de efecto invernadero generadas durante el ejercicio 2025, expresadas en toneladas métricas equivalentes de CO2, conforme se presentan en la tabla anterior. Las cifras corresponden al primer ejercicio sobre el que la Compañía informa bajo la NIIF S2.</w:t>
      </w:r>
    </w:p>
    <w:p>
      <w:pPr>
        <w:spacing w:after="140" w:line="300"/>
        <w:jc w:val="both"/>
      </w:pPr>
      <w:r>
        <w:rPr>
          <w:b w:val="false"/>
          <w:bCs w:val="false"/>
          <w:color w:val="1A1A1A"/>
          <w:sz w:val="22"/>
          <w:szCs w:val="22"/>
        </w:rPr>
        <w:t xml:space="preserve">Las emisiones de Alcance 1 comprenden las emisiones directas provenientes de fuentes que son propiedad de la Compañía o están bajo su control, en particular la combustión de gasolina y diésel en la flota vehicular y en las plantas de emergencia de las sucursales y los centros operativos. El volumen de combustibles fósiles consumido durante el ejercicio, que la tabla presenta en litros, constituye el dato de entrada a partir del cual se determinaron dichas emisiones directas.</w:t>
      </w:r>
    </w:p>
    <w:p>
      <w:pPr>
        <w:spacing w:after="140" w:line="300"/>
        <w:jc w:val="both"/>
      </w:pPr>
      <w:r>
        <w:rPr>
          <w:b w:val="false"/>
          <w:bCs w:val="false"/>
          <w:color w:val="1A1A1A"/>
          <w:sz w:val="22"/>
          <w:szCs w:val="22"/>
        </w:rPr>
        <w:t xml:space="preserve">Las emisiones de Alcance 2 comprenden las emisiones indirectas asociadas a la energía adquirida y consumida por la Compañía en sus instalaciones durante el ejercicio.</w:t>
      </w:r>
    </w:p>
    <w:p>
      <w:pPr>
        <w:spacing w:after="140" w:line="300"/>
        <w:jc w:val="both"/>
      </w:pPr>
      <w:r>
        <w:rPr>
          <w:b w:val="false"/>
          <w:bCs w:val="false"/>
          <w:color w:val="1A1A1A"/>
          <w:sz w:val="22"/>
          <w:szCs w:val="22"/>
        </w:rPr>
        <w:t xml:space="preserve">Conforme al párrafo C4 del Apéndice C de la NIIF S2, durante este primer periodo anual de aplicación la Compañía se acoge a la facilidad transitoria que la exime de revelar sus emisiones de gases de efecto invernadero de Alcance 3; en consecuencia, las cifras de emisiones brutas absolutas que se revelan corresponden a los Alcances 1 y 2.</w:t>
      </w:r>
    </w:p>
    <w:p>
      <w:pPr>
        <w:spacing w:after="140" w:line="300"/>
        <w:jc w:val="both"/>
      </w:pPr>
      <w:r>
        <w:rPr>
          <w:b w:val="false"/>
          <w:bCs w:val="false"/>
          <w:color w:val="1A1A1A"/>
          <w:sz w:val="22"/>
          <w:szCs w:val="22"/>
        </w:rPr>
        <w:t xml:space="preserve">La Compañía continuará avanzando en la medición y administración de sus emisiones de Alcance 3, priorizando las fuentes más relevantes asociadas a su operación, con el propósito de incorporar dicha revelación en periodos subsecuentes.</w:t>
      </w:r>
    </w:p>
    <w:p>
      <w:pPr>
        <w:pStyle w:val="Heading2"/>
        <w:spacing w:after="60" w:before="360"/>
      </w:pPr>
      <w:r>
        <w:rPr>
          <w:b/>
          <w:bCs/>
          <w:color w:val="14302A"/>
          <w:sz w:val="26"/>
          <w:szCs w:val="26"/>
        </w:rPr>
        <w:t xml:space="preserve">Método de medición, datos de entrada y C5</w:t>
      </w:r>
    </w:p>
    <w:p>
      <w:pPr>
        <w:spacing w:after="180"/>
      </w:pPr>
      <w:r>
        <w:rPr>
          <w:color w:val="8A6D1B"/>
          <w:sz w:val="16"/>
          <w:szCs w:val="16"/>
        </w:rPr>
        <w:t xml:space="preserve">NIIF S2 29 (a)(ii) · NIIF S2 29 (a)(iii)</w:t>
      </w:r>
    </w:p>
    <w:p>
      <w:pPr>
        <w:spacing w:after="140" w:line="300"/>
        <w:jc w:val="both"/>
      </w:pPr>
      <w:r>
        <w:rPr>
          <w:b w:val="false"/>
          <w:bCs w:val="false"/>
          <w:color w:val="1A1A1A"/>
          <w:sz w:val="22"/>
          <w:szCs w:val="22"/>
        </w:rPr>
        <w:t xml:space="preserve">Empresa Demo, S.A.B. de C.V. mide sus emisiones de gases de efecto invernadero de los Alcances 1 y 2 de conformidad con el Protocolo sobre Gases de Efecto Invernadero: Un Estándar Corporativo de Contabilidad y Reporte (2004). La Compañía aplica este estándar desde 2022 y, por tanto, no hace uso de la medida transitoria prevista en el párrafo C5 del Apéndice C de la NIIF S2, que permitiría conservar durante el primer periodo de aplicación un método de medición distinto. El inventario de emisiones ha sido objeto de verificación por un tercero desde ese mismo año.</w:t>
      </w:r>
    </w:p>
    <w:p>
      <w:pPr>
        <w:spacing w:after="140" w:line="300"/>
        <w:jc w:val="both"/>
      </w:pPr>
      <w:r>
        <w:rPr>
          <w:b w:val="false"/>
          <w:bCs w:val="false"/>
          <w:color w:val="1A1A1A"/>
          <w:sz w:val="22"/>
          <w:szCs w:val="22"/>
        </w:rPr>
        <w:t xml:space="preserve">Para delimitar el perímetro del inventario, la Compañía utiliza el enfoque de control operacional, de manera que consolida la totalidad de las emisiones de las operaciones sobre las que ejerce dicho control.</w:t>
      </w:r>
    </w:p>
    <w:p>
      <w:pPr>
        <w:spacing w:after="140" w:line="300"/>
        <w:jc w:val="both"/>
      </w:pPr>
      <w:r>
        <w:rPr>
          <w:b w:val="false"/>
          <w:bCs w:val="false"/>
          <w:color w:val="1A1A1A"/>
          <w:sz w:val="22"/>
          <w:szCs w:val="22"/>
        </w:rPr>
        <w:t xml:space="preserve">Las emisiones de Alcance 1 corresponden a la combustión de gasolina y diésel en la flota vehicular y en las plantas de emergencia de sucursales y centros operativos. El dato de entrada es el consumo de combustibles del ejercicio 2025, que ascendió a 488,000 litros, al que se aplican los factores de emisión publicados por la Secretaría de Medio Ambiente y Recursos Naturales (SEMARNAT) para cada tipo de combustible.</w:t>
      </w:r>
    </w:p>
    <w:p>
      <w:pPr>
        <w:spacing w:after="140" w:line="300"/>
        <w:jc w:val="both"/>
      </w:pPr>
      <w:r>
        <w:rPr>
          <w:b w:val="false"/>
          <w:bCs w:val="false"/>
          <w:color w:val="1A1A1A"/>
          <w:sz w:val="22"/>
          <w:szCs w:val="22"/>
        </w:rPr>
        <w:t xml:space="preserve">Las emisiones de Alcance 2 corresponden a la electricidad adquirida y consumida en las instalaciones de la Compañía. El dato de entrada son los kilowatt-hora facturados por sucursal, que en 2025 sumaron 9,120,000 kWh, a los que se aplica el factor de emisión del Sistema Eléctrico Nacional publicado por la Comisión Reguladora de Energía (CRE).</w:t>
      </w:r>
    </w:p>
    <w:p>
      <w:pPr>
        <w:spacing w:after="140" w:line="300"/>
        <w:jc w:val="both"/>
      </w:pPr>
      <w:r>
        <w:rPr>
          <w:b w:val="false"/>
          <w:bCs w:val="false"/>
          <w:color w:val="1A1A1A"/>
          <w:sz w:val="22"/>
          <w:szCs w:val="22"/>
        </w:rPr>
        <w:t xml:space="preserve">Durante el ejercicio 2025 no se produjeron cambios en el método de medición, en los factores de emisión utilizados ni en la naturaleza de los datos de entrada respecto del periodo anterior, por lo que la información sobre emisiones de este periodo se elaboró sobre la misma base que la de ejercicios previos.</w:t>
      </w:r>
    </w:p>
    <w:p>
      <w:pPr>
        <w:pStyle w:val="Heading2"/>
        <w:spacing w:after="60" w:before="360"/>
      </w:pPr>
      <w:r>
        <w:rPr>
          <w:b/>
          <w:bCs/>
          <w:color w:val="14302A"/>
          <w:sz w:val="26"/>
          <w:szCs w:val="26"/>
        </w:rPr>
        <w:t xml:space="preserve">Razones del enfoque y desagregación</w:t>
      </w:r>
    </w:p>
    <w:p>
      <w:pPr>
        <w:spacing w:after="180"/>
      </w:pPr>
      <w:r>
        <w:rPr>
          <w:color w:val="8A6D1B"/>
          <w:sz w:val="16"/>
          <w:szCs w:val="16"/>
        </w:rPr>
        <w:t xml:space="preserve">NIIF S2 29 (a)(iv) EI5</w:t>
      </w:r>
    </w:p>
    <w:p>
      <w:pPr>
        <w:spacing w:after="140" w:line="300"/>
        <w:jc w:val="both"/>
      </w:pPr>
      <w:r>
        <w:rPr>
          <w:b w:val="false"/>
          <w:bCs w:val="false"/>
          <w:color w:val="1A1A1A"/>
          <w:sz w:val="22"/>
          <w:szCs w:val="22"/>
        </w:rPr>
        <w:t xml:space="preserve">Empresa Demo, S.A.B. de C.V. consolida sus emisiones de gases de efecto invernadero de Alcance 1 y Alcance 2 bajo el enfoque de control operacional, que abarca a sus tres subsidiarias —Banco Demo, Arrendadora Demo y Factoraje Demo— y a la totalidad de las sucursales desde las que operan, tanto propias como arrendadas. A continuación se exponen las razones de esa elección y la forma en que las emisiones se distribuyen entre el grupo contable consolidado y otras participadas.</w:t>
      </w:r>
    </w:p>
    <w:p>
      <w:pPr>
        <w:spacing w:after="140" w:line="300"/>
        <w:jc w:val="both"/>
      </w:pPr>
      <w:r>
        <w:rPr>
          <w:b w:val="false"/>
          <w:bCs w:val="false"/>
          <w:color w:val="1A1A1A"/>
          <w:sz w:val="22"/>
          <w:szCs w:val="22"/>
        </w:rPr>
        <w:t xml:space="preserve">La Compañía eligió el enfoque de control operacional porque ejerce el control sobre las decisiones operativas de sus subsidiarias y de todas sus sucursales, con independencia de que el inmueble sea propio o arrendado. Esa circunstancia resulta determinante para la representación de las emisiones, ya que la mayor parte del consumo eléctrico del grupo ocurre en sucursales arrendadas. Un enfoque basado en la participación en el capital habría excluido dichas sucursales del inventario, con lo que las emisiones de Alcance 2 habrían quedado subrepresentadas frente a la actividad real de la Compañía. Por su parte, el enfoque de control financiero coincide, en el caso particular de la Compañía, con el de control operacional, de modo que ambos conducen al mismo perímetro de emisiones; la elección del control operacional obedece a que describe con mayor precisión el ámbito en el que la Compañía toma las decisiones que inciden en sus emisiones.</w:t>
      </w:r>
    </w:p>
    <w:p>
      <w:pPr>
        <w:spacing w:after="140" w:line="300"/>
        <w:jc w:val="both"/>
      </w:pPr>
      <w:r>
        <w:rPr>
          <w:b w:val="false"/>
          <w:bCs w:val="false"/>
          <w:color w:val="1A1A1A"/>
          <w:sz w:val="22"/>
          <w:szCs w:val="22"/>
        </w:rPr>
        <w:t xml:space="preserve">En cuanto a la desagregación entre el grupo contable consolidado y otras participadas, la Compañía no mantiene participadas fuera de su perímetro de consolidación que generen emisiones relevantes de Alcance 1 o Alcance 2. Por lo tanto, la totalidad de las emisiones reveladas corresponde al grupo contable consolidado, integrado por la Compañía y sus tres subsidiarias, y no existe una porción atribuible a asociadas, negocios conjuntos, subsidiarias no consolidadas u otras inversiones que deba presentarse por separado. Asimismo, la desagregación de las emisiones por entidad dentro del grupo no arroja diferencias materiales respecto de las cifras consolidadas que se presentan en la sección de emisiones de Alcance 1 y Alcance 2 de este informe.</w:t>
      </w:r>
    </w:p>
    <w:p>
      <w:pPr>
        <w:pStyle w:val="Heading2"/>
        <w:spacing w:after="60" w:before="360"/>
      </w:pPr>
      <w:r>
        <w:rPr>
          <w:b/>
          <w:bCs/>
          <w:color w:val="14302A"/>
          <w:sz w:val="26"/>
          <w:szCs w:val="26"/>
        </w:rPr>
        <w:t xml:space="preserve">Alcance 2 por ubicación e instrumentos contractuales</w:t>
      </w:r>
    </w:p>
    <w:p>
      <w:pPr>
        <w:spacing w:after="180"/>
      </w:pPr>
      <w:r>
        <w:rPr>
          <w:color w:val="8A6D1B"/>
          <w:sz w:val="16"/>
          <w:szCs w:val="16"/>
        </w:rPr>
        <w:t xml:space="preserve">NIIF S2 29 (a)(v)</w:t>
      </w:r>
    </w:p>
    <w:p>
      <w:pPr>
        <w:spacing w:after="140" w:line="300"/>
        <w:jc w:val="both"/>
      </w:pPr>
      <w:r>
        <w:rPr>
          <w:b w:val="false"/>
          <w:bCs w:val="false"/>
          <w:color w:val="1A1A1A"/>
          <w:sz w:val="22"/>
          <w:szCs w:val="22"/>
        </w:rPr>
        <w:t xml:space="preserve">Empresa Demo, S.A.B. de C.V. presenta sus emisiones de gases de efecto invernadero de Alcance 2 correspondientes al ejercicio 2025 conforme al método basado en la ubicación, el cual aplica los factores de emisión promedio de la red eléctrica de la que la Compañía toma su energía. Bajo este método, las emisiones de Alcance 2 del ejercicio ascendieron a 3,860 toneladas métricas equivalentes de CO2, asociadas a un consumo de energía eléctrica de 9,120,000 kWh en el conjunto de sus instalaciones.</w:t>
      </w:r>
    </w:p>
    <w:p>
      <w:pPr>
        <w:spacing w:after="140" w:line="300"/>
        <w:jc w:val="both"/>
      </w:pPr>
      <w:r>
        <w:rPr>
          <w:b w:val="false"/>
          <w:bCs w:val="false"/>
          <w:color w:val="1A1A1A"/>
          <w:sz w:val="22"/>
          <w:szCs w:val="22"/>
        </w:rPr>
        <w:t xml:space="preserve">La totalidad de la energía eléctrica consumida por la Compañía durante el ejercicio se adquirió a la Comisión Federal de Electricidad bajo contratos de suministro estándar. La Compañía no mantiene contratos de compra de energía renovable, contratos bilaterales con generadores de fuentes limpias, certificados de energía limpia ni otros instrumentos contractuales que le permitan atribuir a su consumo un factor de emisión distinto del promedio de la red. En consecuencia, no existen instrumentos contractuales cuya descripción sea necesaria para comprender las emisiones de Alcance 2 de la Compañía, y el método basado en el mercado arroja para el ejercicio 2025 el mismo valor que el método basado en la ubicación: 3,860 toneladas métricas equivalentes de CO2.</w:t>
      </w:r>
    </w:p>
    <w:p>
      <w:pPr>
        <w:spacing w:after="140" w:line="300"/>
        <w:jc w:val="both"/>
      </w:pPr>
      <w:r>
        <w:rPr>
          <w:b w:val="false"/>
          <w:bCs w:val="false"/>
          <w:color w:val="1A1A1A"/>
          <w:sz w:val="22"/>
          <w:szCs w:val="22"/>
        </w:rPr>
        <w:t xml:space="preserve">La coincidencia entre ambos métodos refleja que la Compañía no adquirió durante el ejercicio atributos contractuales de energía que reduzcan sus emisiones de Alcance 2 basadas en el mercado respecto de las basadas en la ubicación. Cualquier adquisición futura de energía renovable o de certificados de energía limpia se reflejaría en la cifra basada en el mercado y se revelaría junto con la descripción de los instrumentos correspondientes, en tanto la cifra basada en la ubicación continuaría reflejando la intensidad promedio de la red de la que la Compañía se abastece.</w:t>
      </w:r>
    </w:p>
    <w:p>
      <w:pPr>
        <w:spacing w:after="140" w:line="300"/>
        <w:jc w:val="both"/>
      </w:pPr>
      <w:r>
        <w:rPr>
          <w:b w:val="false"/>
          <w:bCs w:val="false"/>
          <w:color w:val="1A1A1A"/>
          <w:sz w:val="22"/>
          <w:szCs w:val="22"/>
        </w:rPr>
        <w:t xml:space="preserve">Al tratarse del primer ejercicio anual de aplicación de la NIIF S2, y conforme a la facilidad transitoria del párrafo C3, no se presenta información comparativa del periodo anterior para las emisiones de Alcance 2.</w:t>
      </w:r>
    </w:p>
    <w:p>
      <w:pPr>
        <w:pStyle w:val="Heading2"/>
        <w:spacing w:after="60" w:before="360"/>
      </w:pPr>
      <w:r>
        <w:rPr>
          <w:b/>
          <w:bCs/>
          <w:color w:val="14302A"/>
          <w:sz w:val="26"/>
          <w:szCs w:val="26"/>
        </w:rPr>
        <w:t xml:space="preserve">Riesgos de transición: concentración, exposición y capital</w:t>
      </w:r>
    </w:p>
    <w:p>
      <w:pPr>
        <w:spacing w:after="180"/>
      </w:pPr>
      <w:r>
        <w:rPr>
          <w:color w:val="8A6D1B"/>
          <w:sz w:val="16"/>
          <w:szCs w:val="16"/>
        </w:rPr>
        <w:t xml:space="preserve">NIIF S2 30 · NIIF S2 29 (b) · NIIF S2 29 (b) · B65 (b) · NIIF S2 29 (b) · B65 (c)</w:t>
      </w:r>
    </w:p>
    <w:p>
      <w:pPr>
        <w:spacing w:after="100" w:before="160"/>
      </w:pPr>
      <w:r>
        <w:rPr>
          <w:b/>
          <w:bCs/>
          <w:color w:val="14302A"/>
          <w:sz w:val="22"/>
          <w:szCs w:val="22"/>
        </w:rPr>
        <w:t xml:space="preserve">Exposición a riesgos de transición y despliegue de capital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Concepto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Cantidad de activos</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Porcentaje</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Gasto de capital</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Financiación</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Inversión</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Precio al carbono y regulación sobre sectores intensivos en la cartera empresarial</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8,090</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9.4 %</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Expectativas de inversionistas y taxonomía sostenible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14,200</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16.4 %</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r>
    </w:tbl>
    <w:p>
      <w:pPr>
        <w:spacing w:after="200"/>
      </w:pPr>
    </w:p>
    <w:p>
      <w:pPr>
        <w:spacing w:after="140" w:line="300"/>
        <w:jc w:val="both"/>
      </w:pPr>
      <w:r>
        <w:rPr>
          <w:b w:val="false"/>
          <w:bCs w:val="false"/>
          <w:color w:val="1A1A1A"/>
          <w:sz w:val="22"/>
          <w:szCs w:val="22"/>
        </w:rPr>
        <w:t xml:space="preserve">Empresa Demo, S.A.B. de C.V. identifica dos riesgos de transición relacionados con el clima cuya exposición se presenta en la tabla anterior: el precio al carbono y la regulación que recae sobre los sectores intensivos en emisiones dentro de la cartera empresarial, y las expectativas de los inversionistas institucionales y la taxonomía sostenible que orientan sus decisiones. Para determinar la cantidad y el porcentaje de activos vulnerables, la Compañía no se acoge a la exención por costo o esfuerzo desproporcionado; las métricas se obtienen a partir de la clasificación de la cartera por sector y ubicación con la información razonable y sustentable disponible a la fecha de presentación.</w:t>
      </w:r>
    </w:p>
    <w:p>
      <w:pPr>
        <w:spacing w:after="140" w:line="300"/>
        <w:jc w:val="both"/>
      </w:pPr>
      <w:r>
        <w:rPr>
          <w:b w:val="false"/>
          <w:bCs w:val="false"/>
          <w:color w:val="1A1A1A"/>
          <w:sz w:val="22"/>
          <w:szCs w:val="22"/>
        </w:rPr>
        <w:t xml:space="preserve">La exposición al primer riesgo corresponde al crédito otorgado a acreditados de cemento, acero, transporte de carga y generación eléctrica convencional, que representa el 18 % del segmento empresarial y se mide contra una cartera de crédito total de 86,400 millones de pesos al cierre de 2025. En el modelo de negocio, los riesgos de transición se concentran en la originación y administración de esa cartera empresarial y, en la cadena de valor, en la captación y la tesorería, por las expectativas de los inversionistas institucionales que adquieren la deuda del grupo.</w:t>
      </w:r>
    </w:p>
    <w:p>
      <w:pPr>
        <w:spacing w:after="140" w:line="300"/>
        <w:jc w:val="both"/>
      </w:pPr>
      <w:r>
        <w:rPr>
          <w:b w:val="false"/>
          <w:bCs w:val="false"/>
          <w:color w:val="1A1A1A"/>
          <w:sz w:val="22"/>
          <w:szCs w:val="22"/>
        </w:rPr>
        <w:t xml:space="preserve">Los efectos previstos comprenden el deterioro de la calificación de los acreditados en sectores intensivos, mayores reservas crediticias y la posibilidad de que activos varados operen como colateral; por el lado del pasivo, un mayor costo de fondeo, menor demanda en las emisiones de deuda y la exclusión de índices sostenibles. Durante 2025 no se registraron efectos cuantificables en la situación financiera, el rendimiento financiero ni los flujos de efectivo de la Compañía atribuibles a estos riesgos.</w:t>
      </w:r>
    </w:p>
    <w:p>
      <w:pPr>
        <w:pStyle w:val="Heading2"/>
        <w:spacing w:after="60" w:before="360"/>
      </w:pPr>
      <w:r>
        <w:rPr>
          <w:b/>
          <w:bCs/>
          <w:color w:val="14302A"/>
          <w:sz w:val="26"/>
          <w:szCs w:val="26"/>
        </w:rPr>
        <w:t xml:space="preserve">Riesgos físicos: exposición y gráfica</w:t>
      </w:r>
    </w:p>
    <w:p>
      <w:pPr>
        <w:spacing w:after="180"/>
      </w:pPr>
      <w:r>
        <w:rPr>
          <w:color w:val="8A6D1B"/>
          <w:sz w:val="16"/>
          <w:szCs w:val="16"/>
        </w:rPr>
        <w:t xml:space="preserve">NIIF S2 29 (c) · NIIF S2 29 (c) · B65 (b) · NIIF S2 29 (c) · B65 (c)</w:t>
      </w:r>
    </w:p>
    <w:p>
      <w:pPr>
        <w:spacing w:after="100" w:before="160"/>
      </w:pPr>
      <w:r>
        <w:rPr>
          <w:b/>
          <w:bCs/>
          <w:color w:val="14302A"/>
          <w:sz w:val="22"/>
          <w:szCs w:val="22"/>
        </w:rPr>
        <w:t xml:space="preserve">Exposición a riesgos físicos y despliegue de capital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Concepto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Cantidad de activos</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Porcentaje</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Gasto de capital</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Financiación</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Inversión</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Huracanes e inundaciones en la red del sureste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32</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26 %</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18.5</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Estrés hídrico sobre la cartera agropecuaria del norte y el Bajío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10,370</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12 %</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640</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r>
    </w:tbl>
    <w:p>
      <w:pPr>
        <w:spacing w:after="200"/>
      </w:pPr>
    </w:p>
    <w:p>
      <w:pPr>
        <w:spacing w:after="140" w:line="300"/>
        <w:jc w:val="both"/>
      </w:pPr>
      <w:r>
        <w:rPr>
          <w:b w:val="false"/>
          <w:bCs w:val="false"/>
          <w:color w:val="1A1A1A"/>
          <w:sz w:val="22"/>
          <w:szCs w:val="22"/>
        </w:rPr>
        <w:t xml:space="preserve">Empresa Demo, S.A.B. de C.V. presenta en la tabla anterior la cantidad y el porcentaje de activos y actividades vulnerables a los riesgos físicos relacionados con el clima, junto con el gasto de capital y la financiación asociados a cada uno durante el ejercicio 2025.</w:t>
      </w:r>
    </w:p>
    <w:p>
      <w:pPr>
        <w:spacing w:after="140" w:line="300"/>
        <w:jc w:val="both"/>
      </w:pPr>
      <w:r>
        <w:rPr>
          <w:b w:val="false"/>
          <w:bCs w:val="false"/>
          <w:color w:val="1A1A1A"/>
          <w:sz w:val="22"/>
          <w:szCs w:val="22"/>
        </w:rPr>
        <w:t xml:space="preserve">La exposición a huracanes e inundaciones se concentra en la operación de la red de sucursales del sureste: de las 118 sucursales y los tres centros operativos de la Compañía, 31 sucursales y el centro operativo de Mérida se ubican en zonas de alta incidencia de ciclones en Yucatán, Quintana Roo, Tabasco y Veracruz. En esa misma región se concentra la administración de la cartera hipotecaria y pyme expuesta a estos fenómenos. El estrés hídrico incide, por su parte, en la originación y administración de la cartera agropecuaria del norte y el Bajío, que forma parte de la cadena de valor de la Compañía a través de sus acreditados rurales.</w:t>
      </w:r>
    </w:p>
    <w:p>
      <w:pPr>
        <w:spacing w:after="140" w:line="300"/>
        <w:jc w:val="both"/>
      </w:pPr>
      <w:r>
        <w:rPr>
          <w:b w:val="false"/>
          <w:bCs w:val="false"/>
          <w:color w:val="1A1A1A"/>
          <w:sz w:val="22"/>
          <w:szCs w:val="22"/>
        </w:rPr>
        <w:t xml:space="preserve">En cuanto a los efectos sobre la situación financiera, el rendimiento financiero y los flujos de efectivo, la Compañía identifica para el sureste el cierre temporal de sucursales, los daños a inmuebles y equipo, el deterioro de cartera por la afectación de sus clientes y el incremento de las primas de seguro; y para la cartera agropecuaria, el aumento de la cartera vencida y de las reservas, el menor valor de las garantías rurales y la reducción de la originación por la escasez de agua. Durante 2025 el efecto materializado correspondió al gasto de capital destinado a adecuaciones y seguros de la red del sureste, expresado en millones de pesos en la tabla anterior.</w:t>
      </w:r>
    </w:p>
    <w:p>
      <w:pPr>
        <w:pStyle w:val="Heading2"/>
        <w:spacing w:after="60" w:before="360"/>
      </w:pPr>
      <w:r>
        <w:rPr>
          <w:b/>
          <w:bCs/>
          <w:color w:val="14302A"/>
          <w:sz w:val="26"/>
          <w:szCs w:val="26"/>
        </w:rPr>
        <w:t xml:space="preserve">Oportunidades: alineación y capital</w:t>
      </w:r>
    </w:p>
    <w:p>
      <w:pPr>
        <w:spacing w:after="180"/>
      </w:pPr>
      <w:r>
        <w:rPr>
          <w:color w:val="8A6D1B"/>
          <w:sz w:val="16"/>
          <w:szCs w:val="16"/>
        </w:rPr>
        <w:t xml:space="preserve">NIIF S2 29 (d) · NIIF S2 29 (d) · B65 (b) · NIIF S2 29 (d) · B65 (c) · NIIF S2 29 (e)</w:t>
      </w:r>
    </w:p>
    <w:p>
      <w:pPr>
        <w:spacing w:after="100" w:before="160"/>
      </w:pPr>
      <w:r>
        <w:rPr>
          <w:b/>
          <w:bCs/>
          <w:color w:val="14302A"/>
          <w:sz w:val="22"/>
          <w:szCs w:val="22"/>
        </w:rPr>
        <w:t xml:space="preserve">Oportunidades climáticas: alineación y despliegue de capital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Concepto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Cantidad de activos</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Porcentaje</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Gasto de capital</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Financiación</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Inversión</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Financiamiento sostenible a pymes y vivienda eficiente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6,910</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8 %</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2,000</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Eficiencia operativa de la red</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40</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34 %</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31</w:t>
            </w:r>
          </w:p>
        </w:tc>
      </w:tr>
    </w:tbl>
    <w:p>
      <w:pPr>
        <w:spacing w:after="200"/>
      </w:pPr>
    </w:p>
    <w:p>
      <w:pPr>
        <w:spacing w:after="140" w:line="300"/>
        <w:jc w:val="both"/>
      </w:pPr>
      <w:r>
        <w:rPr>
          <w:b w:val="false"/>
          <w:bCs w:val="false"/>
          <w:color w:val="1A1A1A"/>
          <w:sz w:val="22"/>
          <w:szCs w:val="22"/>
        </w:rPr>
        <w:t xml:space="preserve">Empresa Demo, S.A.B. de C.V. presenta en la tabla anterior la cantidad y el porcentaje de activos y actividades empresariales alineadas con las oportunidades relacionadas con el clima identificadas para el ejercicio 2025, así como el gasto de capital, la financiación y la inversión aplicados a cada una de ellas. La primera oportunidad corresponde a la cartera de crédito con etiqueta verde; la cantidad de activos se expresa en millones de pesos, el porcentaje se calcula sobre la cartera total y la financiación asociada corresponde a un bono verde vigente. La segunda oportunidad corresponde al programa de eficiencia energética de la red de sucursales; la cantidad de activos se refiere al número de sucursales intervenidas y la inversión se expresa en millones de pesos.</w:t>
      </w:r>
    </w:p>
    <w:p>
      <w:pPr>
        <w:spacing w:after="140" w:line="300"/>
        <w:jc w:val="both"/>
      </w:pPr>
      <w:r>
        <w:rPr>
          <w:b w:val="false"/>
          <w:bCs w:val="false"/>
          <w:color w:val="1A1A1A"/>
          <w:sz w:val="22"/>
          <w:szCs w:val="22"/>
        </w:rPr>
        <w:t xml:space="preserve">Las oportunidades relacionadas con el clima se concentran en dos puntos del modelo de negocio y de la cadena de valor de la Compañía: en la originación de crédito y la captación, a través de la cartera con etiqueta verde destinada a eficiencia energética, vivienda certificada y energía distribuida, y en la operación de la red, mediante la eficiencia energética de las sucursales, que comprende iluminación LED, climatización eficiente y generación solar distribuida.</w:t>
      </w:r>
    </w:p>
    <w:p>
      <w:pPr>
        <w:spacing w:after="140" w:line="300"/>
        <w:jc w:val="both"/>
      </w:pPr>
      <w:r>
        <w:rPr>
          <w:b w:val="false"/>
          <w:bCs w:val="false"/>
          <w:color w:val="1A1A1A"/>
          <w:sz w:val="22"/>
          <w:szCs w:val="22"/>
        </w:rPr>
        <w:t xml:space="preserve">Durante el periodo sobre el que se informa, estas oportunidades afectaron la situación financiera, el rendimiento financiero y los flujos de efectivo de la Compañía por dos vías. En el negocio de crédito, mediante mayores ingresos por intereses en segmentos de crecimiento, un menor costo de fondeo asociado al bono verde y la diferenciación de la oferta frente a la clientela. En la operación de la red, mediante un menor gasto operativo por consumo de energía y una reducción de las emisiones de gases de efecto invernadero de Alcance 2 de las sucursales intervenidas.</w:t>
      </w:r>
    </w:p>
    <w:p>
      <w:pPr>
        <w:pStyle w:val="Heading2"/>
        <w:spacing w:after="60" w:before="360"/>
      </w:pPr>
      <w:r>
        <w:rPr>
          <w:b/>
          <w:bCs/>
          <w:color w:val="14302A"/>
          <w:sz w:val="26"/>
          <w:szCs w:val="26"/>
        </w:rPr>
        <w:t xml:space="preserve">Precio interno del carbono y remuneración vinculada</w:t>
      </w:r>
    </w:p>
    <w:p>
      <w:pPr>
        <w:spacing w:after="180"/>
      </w:pPr>
      <w:r>
        <w:rPr>
          <w:color w:val="8A6D1B"/>
          <w:sz w:val="16"/>
          <w:szCs w:val="16"/>
        </w:rPr>
        <w:t xml:space="preserve">NIIF S2 29 (f) (i) y (ii) · NIIF S2 29 (g) (i) y (ii)</w:t>
      </w:r>
    </w:p>
    <w:p>
      <w:pPr>
        <w:spacing w:after="140" w:line="300"/>
        <w:jc w:val="both"/>
      </w:pPr>
      <w:r>
        <w:rPr>
          <w:b w:val="false"/>
          <w:bCs w:val="false"/>
          <w:color w:val="1A1A1A"/>
          <w:sz w:val="22"/>
          <w:szCs w:val="22"/>
        </w:rPr>
        <w:t xml:space="preserve">Empresa Demo, S.A.B. de C.V. presenta a continuación la información relativa al uso de precios internos del carbono en su toma de decisiones y a la vinculación de la remuneración de su gerencia ejecutiva con consideraciones relacionadas con el clima, correspondiente al ejercicio 2025. Ambos elementos se describen conforme a su situación efectiva durante el periodo, incluidas las evaluaciones en curso de los órganos de gobierno de la Compañía respecto de su posible adopción en periodos subsecuentes.</w:t>
      </w:r>
    </w:p>
    <w:p>
      <w:pPr>
        <w:spacing w:after="140" w:line="300"/>
        <w:jc w:val="both"/>
      </w:pPr>
      <w:r>
        <w:rPr>
          <w:b w:val="false"/>
          <w:bCs w:val="false"/>
          <w:color w:val="1A1A1A"/>
          <w:sz w:val="22"/>
          <w:szCs w:val="22"/>
        </w:rPr>
        <w:t xml:space="preserve">Durante el ejercicio 2025 la Compañía no aplicó un precio interno del carbono en su toma de decisiones. En consecuencia, no existe un precio por tonelada métrica de emisiones utilizado para evaluar el costo de sus emisiones de gases de efecto invernadero, ni una metodología de aplicación de dicho precio a las decisiones del periodo. El Comité de Riesgos evalúa la incorporación de un precio sombra de 500 pesos por tonelada métrica equivalente de CO2 en el análisis de crédito a sectores intensivos en emisiones a partir de 2026. Esta evaluación no constituye una decisión adoptada ni un compromiso de implementación, y la Compañía informará sobre su resultado en la medida en que se concrete.</w:t>
      </w:r>
    </w:p>
    <w:p>
      <w:pPr>
        <w:spacing w:after="140" w:line="300"/>
        <w:jc w:val="both"/>
      </w:pPr>
      <w:r>
        <w:rPr>
          <w:b w:val="false"/>
          <w:bCs w:val="false"/>
          <w:color w:val="1A1A1A"/>
          <w:sz w:val="22"/>
          <w:szCs w:val="22"/>
        </w:rPr>
        <w:t xml:space="preserve">En materia de remuneración, durante el ejercicio 2025 ninguna proporción de la remuneración variable de la Dirección estuvo vinculada a métricas relacionadas con el clima. Las consideraciones climáticas no formaron parte de los criterios de determinación de la remuneración de la gerencia ejecutiva reconocida en el periodo, por lo que el porcentaje de dicha remuneración vinculado a consideraciones relacionadas con el clima fue de cero por ciento. El Comité de Prácticas Societarias evalúa la incorporación de métricas climáticas en la remuneración a partir de 2027; dicha evaluación se encuentra en curso.</w:t>
      </w:r>
    </w:p>
    <w:p>
      <w:pPr>
        <w:spacing w:after="140" w:line="300"/>
        <w:jc w:val="both"/>
      </w:pPr>
      <w:r>
        <w:rPr>
          <w:b w:val="false"/>
          <w:bCs w:val="false"/>
          <w:color w:val="1A1A1A"/>
          <w:sz w:val="22"/>
          <w:szCs w:val="22"/>
        </w:rPr>
        <w:t xml:space="preserve">La Compañía revisará estos elementos en periodos subsecuentes y actualizará la información a revelar conforme avancen las evaluaciones de los comités mencionados.</w:t>
      </w:r>
    </w:p>
    <w:p>
      <w:pPr>
        <w:pStyle w:val="Heading2"/>
        <w:spacing w:after="60" w:before="360"/>
      </w:pPr>
      <w:r>
        <w:rPr>
          <w:b/>
          <w:bCs/>
          <w:color w:val="14302A"/>
          <w:sz w:val="26"/>
          <w:szCs w:val="26"/>
        </w:rPr>
        <w:t xml:space="preserve">Objetivos climáticos (atributos por objetivo)</w:t>
      </w:r>
    </w:p>
    <w:p>
      <w:pPr>
        <w:spacing w:after="180"/>
      </w:pPr>
      <w:r>
        <w:rPr>
          <w:color w:val="8A6D1B"/>
          <w:sz w:val="16"/>
          <w:szCs w:val="16"/>
        </w:rPr>
        <w:t xml:space="preserve">NIIF S2 33</w:t>
      </w:r>
    </w:p>
    <w:p>
      <w:pPr>
        <w:spacing w:after="100" w:before="160"/>
      </w:pPr>
      <w:r>
        <w:rPr>
          <w:b/>
          <w:bCs/>
          <w:color w:val="14302A"/>
          <w:sz w:val="22"/>
          <w:szCs w:val="22"/>
        </w:rPr>
        <w:t xml:space="preserve">Objetivos climáticos y sus atributos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Objetivo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Métrica</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Meta</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Parte de la entidad</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Periodo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Periodo base</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Hitos</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Absoluto o intensidad</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Acuerdo internacional</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Reducción de emisiones de Alcances 1 y 2</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tCO2e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Reducción de 30% al 2030</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Toda la Compañía</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2026-2030</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2025</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12% al 2027</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Absoluto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Consistente con la trayectoria del Acuerdo de París; no validado por SBTi.</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Cartera sostenible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Porcentaje de la cartera total con etiqueta sostenible conforme a la Taxonomía Sostenible de México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 al 2028</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Toda la Compañía</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2026-2028</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2025 (8.0%)</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12% en 2026</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Relativo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Taxonomía Sostenible de México.</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Medición de emisiones financiadas</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Porcentaje de la cartera empresarial con emisiones financiadas medidas bajo PCAF</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80% en 2027</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Cartera empresarial</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2026-2027</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2025 (42%)</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60% en 2026</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Relativo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Metodología PCAF.</w:t>
            </w:r>
          </w:p>
        </w:tc>
      </w:tr>
    </w:tbl>
    <w:p>
      <w:pPr>
        <w:spacing w:after="200"/>
      </w:pPr>
    </w:p>
    <w:p>
      <w:pPr>
        <w:spacing w:after="140" w:line="300"/>
        <w:jc w:val="both"/>
      </w:pPr>
      <w:r>
        <w:rPr>
          <w:b w:val="false"/>
          <w:bCs w:val="false"/>
          <w:color w:val="1A1A1A"/>
          <w:sz w:val="22"/>
          <w:szCs w:val="22"/>
        </w:rPr>
        <w:t xml:space="preserve">Empresa Demo, S.A.B. de C.V. ha establecido tres objetivos cuantitativos relacionados con el clima para supervisar el progreso hacia sus objetivos estratégicos, derivados de su plan de transición 2025-2030. La tabla anterior presenta, para cada uno de ellos, la métrica utilizada, la meta, la parte de la entidad a la que aplica, el periodo de aplicación, el periodo base, los hitos intermedios, su carácter absoluto o relativo y el acuerdo internacional o marco de referencia que lo informa.</w:t>
      </w:r>
    </w:p>
    <w:p>
      <w:pPr>
        <w:spacing w:after="140" w:line="300"/>
        <w:jc w:val="both"/>
      </w:pPr>
      <w:r>
        <w:rPr>
          <w:b w:val="false"/>
          <w:bCs w:val="false"/>
          <w:color w:val="1A1A1A"/>
          <w:sz w:val="22"/>
          <w:szCs w:val="22"/>
        </w:rPr>
        <w:t xml:space="preserve">Los tres objetivos son de ámbito climático. Dos de ellos responden a riesgos relacionados con el clima: la reducción de las emisiones brutas de gases de efecto invernadero de Alcances 1 y 2, que la Compañía prevé alcanzar mediante eficiencia energética, generación solar distribuida y renovación de flota, y la ampliación de la cobertura de medición de las emisiones financiadas de la cartera empresarial conforme a la metodología PCAF. El tercero responde a una oportunidad relacionada con el clima: el crecimiento de la cartera con etiqueta sostenible conforme a la Taxonomía Sostenible de México.</w:t>
      </w:r>
    </w:p>
    <w:p>
      <w:pPr>
        <w:spacing w:after="140" w:line="300"/>
        <w:jc w:val="both"/>
      </w:pPr>
      <w:r>
        <w:rPr>
          <w:b w:val="false"/>
          <w:bCs w:val="false"/>
          <w:color w:val="1A1A1A"/>
          <w:sz w:val="22"/>
          <w:szCs w:val="22"/>
        </w:rPr>
        <w:t xml:space="preserve">Los objetivos de cartera sostenible y de medición de emisiones financiadas se expresan en términos relativos, como porcentaje de la cartera total y de la cartera empresarial, respectivamente, por lo que su cumplimiento depende tanto de la evolución del saldo etiquetado o medido como del tamaño de la cartera de referencia. El objetivo de emisiones es el único formulado en términos absolutos. Los objetivos de emisiones y de cartera sostenible aplican a toda la Compañía, mientras que el de emisiones financiadas se acota a la cartera empresarial.</w:t>
      </w:r>
    </w:p>
    <w:p>
      <w:pPr>
        <w:spacing w:after="140" w:line="300"/>
        <w:jc w:val="both"/>
      </w:pPr>
      <w:r>
        <w:rPr>
          <w:b w:val="false"/>
          <w:bCs w:val="false"/>
          <w:color w:val="1A1A1A"/>
          <w:sz w:val="22"/>
          <w:szCs w:val="22"/>
        </w:rPr>
        <w:t xml:space="preserve">El objetivo de emisiones toma como referencia la trayectoria del Acuerdo de París y no cuenta con la aprobación de la iniciativa Science Based Targets; los otros dos se apoyan en marcos técnicos, la Taxonomía Sostenible de México y la metodología PCAF, y no en un acuerdo internacional sobre el clima.</w:t>
      </w:r>
    </w:p>
    <w:p>
      <w:pPr>
        <w:pStyle w:val="Heading2"/>
        <w:spacing w:after="60" w:before="360"/>
      </w:pPr>
      <w:r>
        <w:rPr>
          <w:b/>
          <w:bCs/>
          <w:color w:val="14302A"/>
          <w:sz w:val="26"/>
          <w:szCs w:val="26"/>
        </w:rPr>
        <w:t xml:space="preserve">Enfoque para establecer y revisar objetivos; resultados</w:t>
      </w:r>
    </w:p>
    <w:p>
      <w:pPr>
        <w:spacing w:after="180"/>
      </w:pPr>
      <w:r>
        <w:rPr>
          <w:color w:val="8A6D1B"/>
          <w:sz w:val="16"/>
          <w:szCs w:val="16"/>
        </w:rPr>
        <w:t xml:space="preserve">NIIF S2 34 · NIIF S2 35</w:t>
      </w:r>
    </w:p>
    <w:p>
      <w:pPr>
        <w:spacing w:after="100" w:before="160"/>
      </w:pPr>
      <w:r>
        <w:rPr>
          <w:b/>
          <w:bCs/>
          <w:color w:val="14302A"/>
          <w:sz w:val="22"/>
          <w:szCs w:val="22"/>
        </w:rPr>
        <w:t xml:space="preserve">Enfoque, revisión y resultados de los objetivos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Objetivo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Validación por tercero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Proceso de revisión</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Métricas de seguimiento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Revisiones</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Resultados</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Reducción de emisiones de Alcances 1 y 2</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Falso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Seguimiento trimestral de consumo y emisiones por sucursal.</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tCO2e por sucursal y tCO2e por colaborador.</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Revisión anual por el Comité de Sostenibilidad y Riesgos Climáticos.</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2025: línea base establecida (Alcance 1: 1,240 tCO2e; Alcance 2: 3,860 tCO2e).</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Cartera sostenible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Verdadero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Conciliación semestral del saldo etiquetado con la Dirección de Crédito.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Saldo y porcentaje de cartera sostenible.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Revisión semestral por el Comité de Sostenibilidad y Riesgos Climáticos.</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2025: 8.0% de la cartera total (6,910 MDP).</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Medición de emisiones financiadas</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Falso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Depuración de datos de acreditados por la Dirección de Riesgos.</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Porcentaje de cartera empresarial cubierta y calidad de datos PCAF.</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Revisión anual por el Comité de Sostenibilidad y Riesgos Climáticos.</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2025: 42% de la cartera empresarial, calidad de datos 4-5.</w:t>
            </w:r>
          </w:p>
        </w:tc>
      </w:tr>
    </w:tbl>
    <w:p>
      <w:pPr>
        <w:spacing w:after="200"/>
      </w:pPr>
    </w:p>
    <w:p>
      <w:pPr>
        <w:spacing w:after="140" w:line="300"/>
        <w:jc w:val="both"/>
      </w:pPr>
      <w:r>
        <w:rPr>
          <w:b w:val="false"/>
          <w:bCs w:val="false"/>
          <w:color w:val="1A1A1A"/>
          <w:sz w:val="22"/>
          <w:szCs w:val="22"/>
        </w:rPr>
        <w:t xml:space="preserve">Empresa Demo, S.A.B. de C.V. establece sus objetivos relacionados con el clima tomando el ejercicio 2025 como periodo base y los somete a la revisión del Comité de Sostenibilidad y Riesgos Climáticos con la periodicidad que se indica en la tabla anterior: anual para el objetivo de reducción de emisiones de Alcances 1 y 2 y para el de medición de emisiones financiadas, y semestral para el de cartera sostenible. La supervisión del progreso descansa en las métricas de seguimiento señaladas para cada objetivo, que se alimentan de los procesos de revisión operativa a cargo de las direcciones responsables de cada materia.</w:t>
      </w:r>
    </w:p>
    <w:p>
      <w:pPr>
        <w:spacing w:after="140" w:line="300"/>
        <w:jc w:val="both"/>
      </w:pPr>
      <w:r>
        <w:rPr>
          <w:b w:val="false"/>
          <w:bCs w:val="false"/>
          <w:color w:val="1A1A1A"/>
          <w:sz w:val="22"/>
          <w:szCs w:val="22"/>
        </w:rPr>
        <w:t xml:space="preserve">El objetivo de reducción de emisiones de Alcances 1 y 2 es consistente con la trayectoria del Acuerdo de París y no cuenta con la aprobación de la iniciativa Science Based Targets. El objetivo de cartera sostenible se alinea con la Taxonomía Sostenible de México y su etiqueta cuenta con una opinión de segunda parte emitida bajo el marco de bonos verdes. El objetivo de medición de emisiones financiadas sigue la metodología del Partnership for Carbon Accounting Financials (PCAF) y no ha sido verificado por un tercero independiente.</w:t>
      </w:r>
    </w:p>
    <w:p>
      <w:pPr>
        <w:spacing w:after="140" w:line="300"/>
        <w:jc w:val="both"/>
      </w:pPr>
      <w:r>
        <w:rPr>
          <w:b w:val="false"/>
          <w:bCs w:val="false"/>
          <w:color w:val="1A1A1A"/>
          <w:sz w:val="22"/>
          <w:szCs w:val="22"/>
        </w:rPr>
        <w:t xml:space="preserve">Los resultados de 2025 corresponden al primer ejercicio de referencia de los tres objetivos, de modo que las cifras presentadas constituyen la línea base a partir de la cual la Compañía medirá su avance en los periodos subsecuentes. Al tratarse del primer periodo anual de aplicación de la NIIF S2, la Compañía se acoge a la facilidad transitoria del párrafo C3 del Apéndice C y no presenta información comparativa; en consecuencia, en este ejercicio no procede un análisis de tendencias o de cambios en los resultados, el cual se incorporará en periodos subsecuentes, una vez que exista un periodo previo con el que contrastar.</w:t>
      </w:r>
    </w:p>
    <w:p>
      <w:pPr>
        <w:pStyle w:val="Heading2"/>
        <w:spacing w:after="60" w:before="360"/>
      </w:pPr>
      <w:r>
        <w:rPr>
          <w:b/>
          <w:bCs/>
          <w:color w:val="14302A"/>
          <w:sz w:val="26"/>
          <w:szCs w:val="26"/>
        </w:rPr>
        <w:t xml:space="preserve">Objetivo de emisiones GEI</w:t>
      </w:r>
    </w:p>
    <w:p>
      <w:pPr>
        <w:spacing w:after="180"/>
      </w:pPr>
      <w:r>
        <w:rPr>
          <w:color w:val="8A6D1B"/>
          <w:sz w:val="16"/>
          <w:szCs w:val="16"/>
        </w:rPr>
        <w:t xml:space="preserve">NIIF S2 36 (a)a(d) · NIIF S2 36 (e)(i)a(iv)</w:t>
      </w:r>
    </w:p>
    <w:p>
      <w:pPr>
        <w:spacing w:after="100" w:before="160"/>
      </w:pPr>
      <w:r>
        <w:rPr>
          <w:b/>
          <w:bCs/>
          <w:color w:val="14302A"/>
          <w:sz w:val="22"/>
          <w:szCs w:val="22"/>
        </w:rPr>
        <w:t xml:space="preserve">Objetivos de emisiones de gases de efecto invernadero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Objetivo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Gases cubiertos</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Alcances cubiertos</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Bruto o neto</w:t>
            </w:r>
          </w:p>
        </w:tc>
        <w:tc>
          <w:tcPr>
            <w:tcBorders>
              <w:top w:val="single" w:color="C9C2B4" w:sz="4"/>
              <w:left w:val="single" w:color="C9C2B4" w:sz="4"/>
              <w:bottom w:val="single" w:color="C9C2B4" w:sz="4"/>
              <w:right w:val="single" w:color="C9C2B4" w:sz="4"/>
            </w:tcBorders>
            <w:shd w:fill="F3EFE6" w:color="auto" w:val="clear"/>
            <w:tcMar>
              <w:top w:type="dxa" w:w="80"/>
              <w:left w:type="dxa" w:w="120"/>
              <w:bottom w:type="dxa" w:w="80"/>
              <w:right w:type="dxa" w:w="120"/>
            </w:tcMar>
            <w:vAlign w:val="top"/>
          </w:tcPr>
          <w:p>
            <w:r>
              <w:rPr>
                <w:b/>
                <w:bCs/>
                <w:color w:val="14302A"/>
                <w:sz w:val="18"/>
                <w:szCs w:val="18"/>
              </w:rPr>
              <w:t xml:space="preserve">Enfoque de descarbonización</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Reducción de emisiones de Alcances 1 y 2</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Dióxido de carbono (CO2); Metano (CH4); Óxido nitroso (N2O)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Alcance 1; Alcance 2</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Emisiones brutas de gases de efecto invernadero</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Falso</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Cartera sostenible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Falso</w:t>
            </w:r>
          </w:p>
        </w:tc>
      </w:tr>
      <w:tr>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Medición de emisiones financiadas</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Alcance 3</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w:t>
            </w:r>
          </w:p>
        </w:tc>
        <w:tc>
          <w:tcPr>
            <w:tcBorders>
              <w:top w:val="single" w:color="C9C2B4" w:sz="4"/>
              <w:left w:val="single" w:color="C9C2B4" w:sz="4"/>
              <w:bottom w:val="single" w:color="C9C2B4" w:sz="4"/>
              <w:right w:val="single" w:color="C9C2B4" w:sz="4"/>
            </w:tcBorders>
            <w:tcMar>
              <w:top w:type="dxa" w:w="80"/>
              <w:left w:type="dxa" w:w="120"/>
              <w:bottom w:type="dxa" w:w="80"/>
              <w:right w:type="dxa" w:w="120"/>
            </w:tcMar>
            <w:vAlign w:val="top"/>
          </w:tcPr>
          <w:p>
            <w:r>
              <w:rPr>
                <w:b w:val="false"/>
                <w:bCs w:val="false"/>
                <w:color w:val="1A1A1A"/>
                <w:sz w:val="18"/>
                <w:szCs w:val="18"/>
              </w:rPr>
              <w:t xml:space="preserve">Falso</w:t>
            </w:r>
          </w:p>
        </w:tc>
      </w:tr>
    </w:tbl>
    <w:p>
      <w:pPr>
        <w:spacing w:after="200"/>
      </w:pPr>
    </w:p>
    <w:p>
      <w:pPr>
        <w:spacing w:after="140" w:line="300"/>
        <w:jc w:val="both"/>
      </w:pPr>
      <w:r>
        <w:rPr>
          <w:b w:val="false"/>
          <w:bCs w:val="false"/>
          <w:color w:val="1A1A1A"/>
          <w:sz w:val="22"/>
          <w:szCs w:val="22"/>
        </w:rPr>
        <w:t xml:space="preserve">Empresa Demo, S.A.B. de C.V. presenta en la tabla anterior los atributos de sus objetivos relacionados con el clima en lo que respecta a los gases y alcances que cubren, su carácter bruto o neto y el enfoque empleado para determinarlos. De los tres objetivos, únicamente el de reducción de emisiones de Alcances 1 y 2 constituye un objetivo de emisiones de gases de efecto invernadero. Dicho objetivo se expresa en términos de emisiones brutas, por lo que no existe un objetivo neto ni un objetivo bruto asociado que deba revelarse por separado, y no fue obtenido mediante un enfoque de descarbonización sectorial. Cubre el dióxido de carbono, el metano y el óxido nitroso correspondientes a las emisiones de Alcance 1 y Alcance 2 de toda la Compañía.</w:t>
      </w:r>
    </w:p>
    <w:p>
      <w:pPr>
        <w:spacing w:after="140" w:line="300"/>
        <w:jc w:val="both"/>
      </w:pPr>
      <w:r>
        <w:rPr>
          <w:b w:val="false"/>
          <w:bCs w:val="false"/>
          <w:color w:val="1A1A1A"/>
          <w:sz w:val="22"/>
          <w:szCs w:val="22"/>
        </w:rPr>
        <w:t xml:space="preserve">Los objetivos de cartera sostenible y de medición de emisiones financiadas no son objetivos de emisiones de gases de efecto invernadero: el primero se refiere a la composición de la cartera y el segundo a la cobertura de medición de las emisiones de Alcance 3 asociadas a la cartera empresarial, sin fijar una meta de reducción de dichas emisiones. Por ello, los atributos relativos a gases cubiertos y carácter bruto o neto no les resultan aplicables.</w:t>
      </w:r>
    </w:p>
    <w:p>
      <w:pPr>
        <w:spacing w:after="140" w:line="300"/>
        <w:jc w:val="both"/>
      </w:pPr>
      <w:r>
        <w:rPr>
          <w:b w:val="false"/>
          <w:bCs w:val="false"/>
          <w:color w:val="1A1A1A"/>
          <w:sz w:val="22"/>
          <w:szCs w:val="22"/>
        </w:rPr>
        <w:t xml:space="preserve">La Compañía no prevé el uso de créditos de carbono para compensar emisiones en el cumplimiento de sus objetivos. El objetivo de reducción de Alcances 1 y 2 se alcanzará mediante eficiencia energética y generación distribuida, sin compensaciones, de modo que no procede revelar información sobre esquemas de verificación de terceros, tipo de crédito ni otros factores relativos a la credibilidad e integridad de créditos de carbono.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F6A60"/>
        <w:sz w:val="14"/>
        <w:szCs w:val="14"/>
      </w:rPr>
      <w:t xml:space="preserve"/>
    </w:r>
    <w:r>
      <w:rPr>
        <w:color w:val="6F6A6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Sostenibilidad NIIF S1 y S2 · 2025</dc:title>
  <dc:creator>Empresa Demo, S.A.B. de C.V.</dc:creator>
  <dc:description>Informe de Sostenibilidad NIIF S1 y S2</dc:description>
  <cp:lastModifiedBy>Un-named</cp:lastModifiedBy>
  <cp:revision>1</cp:revision>
  <dcterms:created xsi:type="dcterms:W3CDTF">2026-09-15T23:20:50.533Z</dcterms:created>
  <dcterms:modified xsi:type="dcterms:W3CDTF">2026-09-15T23:20:50.533Z</dcterms:modified>
</cp:coreProperties>
</file>

<file path=docProps/custom.xml><?xml version="1.0" encoding="utf-8"?>
<Properties xmlns="http://schemas.openxmlformats.org/officeDocument/2006/custom-properties" xmlns:vt="http://schemas.openxmlformats.org/officeDocument/2006/docPropsVTypes"/>
</file>