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2"/>
        </w:rPr>
        <w:t xml:space="preserve">Empresa Demo, S.A.B. de C.V.</w:t>
      </w:r>
    </w:p>
    <w:p>
      <w:pPr>
        <w:jc w:val="center"/>
      </w:pPr>
      <w:r>
        <w:rPr>
          <w:b/>
          <w:sz w:val="48"/>
        </w:rPr>
        <w:t xml:space="preserve">Documento de muestra</w:t>
      </w:r>
    </w:p>
    <w:p>
      <w:pPr>
        <w:jc w:val="center"/>
      </w:pPr>
      <w:r>
        <w:rPr>
          <w:sz w:val="24"/>
        </w:rPr>
        <w:t xml:space="preserve">Suplemento NIIF S1 y S2</w:t>
      </w:r>
    </w:p>
    <w:p>
      <w:pPr>
        <w:jc w:val="center"/>
      </w:pPr>
      <w:r>
        <w:rPr>
          <w:sz w:val="20"/>
          <w:color w:val="666666"/>
        </w:rPr>
        <w:t xml:space="preserve">Este documento de vitrina corresponde a Empresa Demo.</w:t>
      </w:r>
    </w:p>
    <w:p>
      <w:pPr>
        <w:jc w:val="center"/>
      </w:pPr>
      <w:r>
        <w:rPr>
          <w:sz w:val="18"/>
          <w:color w:val="666666"/>
        </w:rPr>
        <w:t xml:space="preserve">Archivo provisional. Se sustituye por el documento definitivo sin tocar codigo.</w:t>
      </w:r>
    </w:p>
    <w:sectPr>
      <w:pgSz w:w="12240" w:h="15840"/>
    </w:sectPr>
  </w:body>
</w:document>
</file>