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Composición del Consejo de Administración</w:t>
      </w:r>
    </w:p>
    <w:p>
      <w:r>
        <w:t xml:space="preserve">Al 31 de diciembre de 2025 el Consejo se integra por 11 consejeros propietarios, de los cuales 4 son independientes y 3 son mujeres.</w:t>
      </w:r>
    </w:p>
    <w:p>
      <w:r>
        <w:t xml:space="preserve">El Consejo sesionó en cinco ocasiones durante el ejercicio, con una asistencia promedio del 96 %.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2026-10-04T18:07:05.949Z</dcterms:created>
  <dcterms:modified xsi:type="dcterms:W3CDTF">2026-10-04T18:07:05.949Z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