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Sustainable Revenue 2025</w:t>
      </w:r>
    </w:p>
    <w:p>
      <w:r>
        <w:t xml:space="preserve">Revenue from certified renewable energy contracts represented 22% of total revenue in 2025 (2024: 18%).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2026-10-04T18:07:05.953Z</dcterms:created>
  <dcterms:modified xsi:type="dcterms:W3CDTF">2026-10-04T18:07:05.953Z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