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</w:rPr>
        <w:t>Documento de muestra</w:t>
      </w:r>
    </w:p>
    <w:p>
      <w:pPr>
        <w:jc w:val="center"/>
      </w:pPr>
      <w:r>
        <w:rPr>
          <w:sz w:val="24"/>
        </w:rPr>
        <w:t>Suplemento NIIF S1 y S2</w:t>
      </w:r>
    </w:p>
    <w:p>
      <w:pPr>
        <w:jc w:val="center"/>
      </w:pPr>
      <w:r>
        <w:rPr>
          <w:sz w:val="20"/>
          <w:color w:val="666666"/>
        </w:rPr>
        <w:t>Archivo provisional. Se sustituye por el documento definitivo sin tocar codigo.</w:t>
      </w:r>
    </w:p>
    <w:sectPr>
      <w:pgSz w:w="12240" w:h="15840"/>
    </w:sectPr>
  </w:body>
</w:document>
</file>