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Informe de Gobierno Corporativo 2025</w:t>
      </w:r>
    </w:p>
    <w:p>
      <w:r>
        <w:t xml:space="preserve">Hidroeléctrica Demo del Norte, S.A. de C.V. opera tres centrales hidroeléctricas en el norte del país y cotiza en la Bolsa Mexicana de Valores.</w:t>
      </w:r>
    </w:p>
    <w:p>
      <w:r>
        <w:t xml:space="preserve">El Comité de Sostenibilidad del Consejo recibe un informe trimestral de la Dirección de Sostenibilidad sobre los riesgos y oportunidades relacionados con el clima.</w:t>
      </w:r>
    </w:p>
    <w:p>
      <w:r>
        <w:t xml:space="preserve">En materia de seguridad industrial, la tasa de incidentes con tiempo perdido bajó por tercer año consecutivo.</w:t>
      </w:r>
    </w:p>
    <w:p>
      <w:r>
        <w:t xml:space="preserve">La Asamblea de Accionistas aprobó el pago de un dividendo ordinario en mayo de 2025.</w:t>
      </w:r>
    </w:p>
    <w:p>
      <w:r>
        <w:t xml:space="preserve">Al aprobar el plan de inversiones anual, el Consejo revisa los escenarios climáticos y su efecto en la disponibilidad de agua para generación.</w:t>
      </w:r>
    </w:p>
    <w:p>
      <w:r>
        <w:t xml:space="preserve">El Comité de Auditoría se reunió seis veces y revisó los estados financieros trimestrales.</w:t>
      </w:r>
    </w:p>
    <w:p>
      <w:r>
        <w:t xml:space="preserve">La Dirección General informa además al Consejo en pleno dos veces al año sobre el avance de los objetivos de reducción de emisiones.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2026-10-04T18:52:08.788Z</dcterms:created>
  <dcterms:modified xsi:type="dcterms:W3CDTF">2026-10-04T18:52:08.788Z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