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Código de Ética y Conducta</w:t>
      </w:r>
    </w:p>
    <w:p>
      <w:r>
        <w:t xml:space="preserve">Este código aplica a consejeros, directivos y colaboradores de la empresa y de sus subsidiarias.</w:t>
      </w:r>
    </w:p>
    <w:p>
      <w:r>
        <w:t xml:space="preserve">Está prohibido ofrecer o aceptar sobornos, regalos o atenciones que puedan influir en una decisión de negocio.</w:t>
      </w:r>
    </w:p>
    <w:p>
      <w:r>
        <w:t xml:space="preserve">Los conflictos de interés se declaran por escrito al Comité de Ética, que evalúa el riesgo de corrupción de cada caso.</w:t>
      </w:r>
    </w:p>
    <w:p>
      <w:r>
        <w:t xml:space="preserve">Las denuncias se reciben en una línea anónima y se investigan con confidencialidad.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2026-10-04T18:52:08.801Z</dcterms:created>
  <dcterms:modified xsi:type="dcterms:W3CDTF">2026-10-04T18:52:08.801Z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