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Esteban Aguayo Bernales</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19.156.828-1</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Claudio Jara Alvarez </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21.276.258-k</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Andrés</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Joaquin Vicente Mardones Lecaros</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21.043.999-4</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Andrés</w:t>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i w:val="1"/>
                <w:sz w:val="20"/>
                <w:szCs w:val="20"/>
                <w:rtl w:val="0"/>
              </w:rPr>
              <w:t xml:space="preserve">SkillTrack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E">
            <w:pPr>
              <w:numPr>
                <w:ilvl w:val="0"/>
                <w:numId w:val="3"/>
              </w:numPr>
              <w:spacing w:after="0" w:lineRule="auto"/>
              <w:ind w:left="720" w:hanging="360"/>
              <w:rPr>
                <w:sz w:val="20"/>
                <w:szCs w:val="20"/>
              </w:rPr>
            </w:pPr>
            <w:r w:rsidDel="00000000" w:rsidR="00000000" w:rsidRPr="00000000">
              <w:rPr>
                <w:sz w:val="20"/>
                <w:szCs w:val="20"/>
                <w:rtl w:val="0"/>
              </w:rPr>
              <w:t xml:space="preserve">Programación de Algoritmos </w:t>
            </w:r>
          </w:p>
          <w:p w:rsidR="00000000" w:rsidDel="00000000" w:rsidP="00000000" w:rsidRDefault="00000000" w:rsidRPr="00000000" w14:paraId="0000002F">
            <w:pPr>
              <w:numPr>
                <w:ilvl w:val="0"/>
                <w:numId w:val="3"/>
              </w:numPr>
              <w:spacing w:after="0" w:lineRule="auto"/>
              <w:ind w:left="720" w:hanging="360"/>
              <w:rPr>
                <w:sz w:val="20"/>
                <w:szCs w:val="20"/>
              </w:rPr>
            </w:pPr>
            <w:r w:rsidDel="00000000" w:rsidR="00000000" w:rsidRPr="00000000">
              <w:rPr>
                <w:sz w:val="20"/>
                <w:szCs w:val="20"/>
                <w:rtl w:val="0"/>
              </w:rPr>
              <w:t xml:space="preserve">Diseño y Gestión de Requisitos</w:t>
            </w:r>
          </w:p>
          <w:p w:rsidR="00000000" w:rsidDel="00000000" w:rsidP="00000000" w:rsidRDefault="00000000" w:rsidRPr="00000000" w14:paraId="00000030">
            <w:pPr>
              <w:numPr>
                <w:ilvl w:val="0"/>
                <w:numId w:val="3"/>
              </w:numPr>
              <w:spacing w:after="0" w:lineRule="auto"/>
              <w:ind w:left="720" w:hanging="360"/>
              <w:rPr>
                <w:sz w:val="20"/>
                <w:szCs w:val="20"/>
              </w:rPr>
            </w:pPr>
            <w:r w:rsidDel="00000000" w:rsidR="00000000" w:rsidRPr="00000000">
              <w:rPr>
                <w:sz w:val="20"/>
                <w:szCs w:val="20"/>
                <w:rtl w:val="0"/>
              </w:rPr>
              <w:t xml:space="preserve">Calidad de Software</w:t>
            </w:r>
          </w:p>
          <w:p w:rsidR="00000000" w:rsidDel="00000000" w:rsidP="00000000" w:rsidRDefault="00000000" w:rsidRPr="00000000" w14:paraId="00000031">
            <w:pPr>
              <w:numPr>
                <w:ilvl w:val="0"/>
                <w:numId w:val="3"/>
              </w:numPr>
              <w:spacing w:after="0" w:lineRule="auto"/>
              <w:ind w:left="720" w:hanging="360"/>
              <w:rPr>
                <w:sz w:val="20"/>
                <w:szCs w:val="20"/>
              </w:rPr>
            </w:pPr>
            <w:r w:rsidDel="00000000" w:rsidR="00000000" w:rsidRPr="00000000">
              <w:rPr>
                <w:sz w:val="20"/>
                <w:szCs w:val="20"/>
                <w:rtl w:val="0"/>
              </w:rPr>
              <w:t xml:space="preserve">Gestión de Proyectos Informáticos </w:t>
            </w:r>
          </w:p>
          <w:p w:rsidR="00000000" w:rsidDel="00000000" w:rsidP="00000000" w:rsidRDefault="00000000" w:rsidRPr="00000000" w14:paraId="00000032">
            <w:pPr>
              <w:numPr>
                <w:ilvl w:val="0"/>
                <w:numId w:val="3"/>
              </w:numPr>
              <w:ind w:left="720" w:hanging="360"/>
              <w:rPr>
                <w:sz w:val="20"/>
                <w:szCs w:val="20"/>
              </w:rPr>
            </w:pPr>
            <w:r w:rsidDel="00000000" w:rsidR="00000000" w:rsidRPr="00000000">
              <w:rPr>
                <w:sz w:val="20"/>
                <w:szCs w:val="20"/>
                <w:rtl w:val="0"/>
              </w:rPr>
              <w:t xml:space="preserve">Programación de Aplicaciones Web</w:t>
            </w:r>
          </w:p>
        </w:tc>
      </w:tr>
      <w:tr>
        <w:trPr>
          <w:cantSplit w:val="0"/>
          <w:trHeight w:val="425"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Competencias </w:t>
            </w:r>
          </w:p>
          <w:p w:rsidR="00000000" w:rsidDel="00000000" w:rsidP="00000000" w:rsidRDefault="00000000" w:rsidRPr="00000000" w14:paraId="00000034">
            <w:pPr>
              <w:rPr>
                <w:color w:val="1f3864"/>
              </w:rPr>
            </w:pPr>
            <w:r w:rsidDel="00000000" w:rsidR="00000000" w:rsidRPr="00000000">
              <w:rPr>
                <w:rtl w:val="0"/>
              </w:rPr>
            </w:r>
          </w:p>
        </w:tc>
        <w:tc>
          <w:tcPr>
            <w:vAlign w:val="center"/>
          </w:tcPr>
          <w:p w:rsidR="00000000" w:rsidDel="00000000" w:rsidP="00000000" w:rsidRDefault="00000000" w:rsidRPr="00000000" w14:paraId="00000035">
            <w:pPr>
              <w:rPr>
                <w:sz w:val="20"/>
                <w:szCs w:val="20"/>
              </w:rPr>
            </w:pPr>
            <w:r w:rsidDel="00000000" w:rsidR="00000000" w:rsidRPr="00000000">
              <w:rPr>
                <w:sz w:val="20"/>
                <w:szCs w:val="20"/>
                <w:rtl w:val="0"/>
              </w:rPr>
              <w:t xml:space="preserve">Desarrollar una plataforma web para gestionar talleres extracurriculares, permitiendo seguimiento individualizado de miembros, supervisión administrativa y generación de informes estratégicos.</w:t>
            </w:r>
          </w:p>
        </w:tc>
      </w:tr>
    </w:tbl>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C">
            <w:pPr>
              <w:widowControl w:val="0"/>
              <w:spacing w:after="0" w:line="240" w:lineRule="auto"/>
              <w:jc w:val="both"/>
              <w:rPr>
                <w:sz w:val="20"/>
                <w:szCs w:val="20"/>
              </w:rPr>
            </w:pPr>
            <w:r w:rsidDel="00000000" w:rsidR="00000000" w:rsidRPr="00000000">
              <w:rPr>
                <w:sz w:val="20"/>
                <w:szCs w:val="20"/>
                <w:rtl w:val="0"/>
              </w:rPr>
              <w:t xml:space="preserve">Los talleres extracurriculares carecen de herramientas digitales para gestionar el progreso de miembros y analizar datos a nivel institucional. </w:t>
            </w:r>
            <w:r w:rsidDel="00000000" w:rsidR="00000000" w:rsidRPr="00000000">
              <w:rPr>
                <w:i w:val="1"/>
                <w:sz w:val="20"/>
                <w:szCs w:val="20"/>
                <w:rtl w:val="0"/>
              </w:rPr>
              <w:t xml:space="preserve">SkillTrack</w:t>
            </w:r>
            <w:r w:rsidDel="00000000" w:rsidR="00000000" w:rsidRPr="00000000">
              <w:rPr>
                <w:sz w:val="20"/>
                <w:szCs w:val="20"/>
                <w:rtl w:val="0"/>
              </w:rPr>
              <w:t xml:space="preserve"> automatiza esta gestión, mejorando la organización, transparencia y toma de decisiones estratégicas.</w:t>
            </w:r>
          </w:p>
        </w:tc>
      </w:tr>
      <w:tr>
        <w:trPr>
          <w:cantSplit w:val="0"/>
          <w:trHeight w:val="1037"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Plataforma web para gestionar talleres (arte, música, deportes), definiendo niveles personalizados y requisitos dinámicos. Incluye seguimiento individual de miembros, reportes para tutores y supervisión administrativa.</w:t>
            </w:r>
          </w:p>
        </w:tc>
      </w:tr>
      <w:tr>
        <w:trPr>
          <w:cantSplit w:val="0"/>
          <w:trHeight w:val="866"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0">
            <w:pPr>
              <w:tabs>
                <w:tab w:val="left" w:leader="none" w:pos="720"/>
              </w:tabs>
              <w:spacing w:after="0" w:line="240" w:lineRule="auto"/>
              <w:ind w:right="195"/>
              <w:jc w:val="both"/>
              <w:rPr>
                <w:sz w:val="20"/>
                <w:szCs w:val="20"/>
              </w:rPr>
            </w:pPr>
            <w:r w:rsidDel="00000000" w:rsidR="00000000" w:rsidRPr="00000000">
              <w:rPr>
                <w:sz w:val="20"/>
                <w:szCs w:val="20"/>
                <w:rtl w:val="0"/>
              </w:rPr>
              <w:t xml:space="preserve">Aplica competencias en desarrollo web, bases de datos, gestión de proyectos y calidad de software, alineándose con las competencias de la carrera</w:t>
            </w:r>
          </w:p>
        </w:tc>
      </w:tr>
      <w:tr>
        <w:trPr>
          <w:cantSplit w:val="0"/>
          <w:trHeight w:val="866"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Se centran en el desarrollo de software y la creación de soluciones tecnológicas innovadoras que aborden problemas prácticos en diversas industrias. Me interesa especialmente trabajar en proyectos que impliquen la optimización de procesos, la mejora de la experiencia del usuario, y la digitalización de servicios en sectores que tradicionalmente no están completamente digitalizados.</w:t>
            </w:r>
          </w:p>
        </w:tc>
      </w:tr>
      <w:tr>
        <w:trPr>
          <w:cantSplit w:val="0"/>
          <w:trHeight w:val="132"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4">
            <w:pPr>
              <w:rPr>
                <w:sz w:val="20"/>
                <w:szCs w:val="20"/>
              </w:rPr>
            </w:pPr>
            <w:r w:rsidDel="00000000" w:rsidR="00000000" w:rsidRPr="00000000">
              <w:rPr>
                <w:sz w:val="20"/>
                <w:szCs w:val="20"/>
                <w:rtl w:val="0"/>
              </w:rPr>
              <w:t xml:space="preserve">Factible en 17 semanas usando tecnologías accesibles (Python/Flask, React, PostgreSQL) y metodología en cascada.</w:t>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B">
            <w:pPr>
              <w:jc w:val="both"/>
              <w:rPr>
                <w:color w:val="548dd4"/>
                <w:sz w:val="20"/>
                <w:szCs w:val="20"/>
                <w:highlight w:val="yellow"/>
              </w:rPr>
            </w:pPr>
            <w:r w:rsidDel="00000000" w:rsidR="00000000" w:rsidRPr="00000000">
              <w:rPr>
                <w:sz w:val="20"/>
                <w:szCs w:val="20"/>
                <w:rtl w:val="0"/>
              </w:rPr>
              <w:t xml:space="preserve">Desarrollar un sistema web para gestionar talleres extracurriculares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Aumentar la eficiencia operativa:</w:t>
            </w:r>
          </w:p>
          <w:p w:rsidR="00000000" w:rsidDel="00000000" w:rsidP="00000000" w:rsidRDefault="00000000" w:rsidRPr="00000000" w14:paraId="0000004E">
            <w:pPr>
              <w:numPr>
                <w:ilvl w:val="0"/>
                <w:numId w:val="5"/>
              </w:numPr>
              <w:spacing w:after="240" w:before="240" w:line="240" w:lineRule="auto"/>
              <w:ind w:left="720" w:hanging="360"/>
              <w:rPr>
                <w:sz w:val="20"/>
                <w:szCs w:val="20"/>
              </w:rPr>
            </w:pPr>
            <w:r w:rsidDel="00000000" w:rsidR="00000000" w:rsidRPr="00000000">
              <w:rPr>
                <w:sz w:val="20"/>
                <w:szCs w:val="20"/>
                <w:rtl w:val="0"/>
              </w:rPr>
              <w:t xml:space="preserve">Lograr una reducción del 30% en el tiempo empleado en tareas administrativas relacionadas con la gestión de talleres, durante los primeros 2 meses y medio de iniciado el despliegue.</w:t>
            </w:r>
          </w:p>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Facilitar la toma de decisiones estratégicas:</w:t>
            </w:r>
          </w:p>
          <w:p w:rsidR="00000000" w:rsidDel="00000000" w:rsidP="00000000" w:rsidRDefault="00000000" w:rsidRPr="00000000" w14:paraId="00000050">
            <w:pPr>
              <w:numPr>
                <w:ilvl w:val="0"/>
                <w:numId w:val="2"/>
              </w:numPr>
              <w:spacing w:after="240" w:before="240" w:line="240" w:lineRule="auto"/>
              <w:ind w:left="720" w:hanging="360"/>
              <w:rPr>
                <w:sz w:val="20"/>
                <w:szCs w:val="20"/>
              </w:rPr>
            </w:pPr>
            <w:r w:rsidDel="00000000" w:rsidR="00000000" w:rsidRPr="00000000">
              <w:rPr>
                <w:sz w:val="20"/>
                <w:szCs w:val="20"/>
                <w:rtl w:val="0"/>
              </w:rPr>
              <w:t xml:space="preserve">Facilitar un sistema de informes que alcance una precisión del 80% en la consolidación de datos a los 5 meses</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Mejorar la transparencia y comunicación interna:</w:t>
            </w:r>
          </w:p>
          <w:p w:rsidR="00000000" w:rsidDel="00000000" w:rsidP="00000000" w:rsidRDefault="00000000" w:rsidRPr="00000000" w14:paraId="00000052">
            <w:pPr>
              <w:numPr>
                <w:ilvl w:val="0"/>
                <w:numId w:val="1"/>
              </w:numPr>
              <w:spacing w:after="240" w:before="240" w:line="240" w:lineRule="auto"/>
              <w:ind w:left="720" w:hanging="360"/>
              <w:rPr>
                <w:sz w:val="20"/>
                <w:szCs w:val="20"/>
              </w:rPr>
            </w:pPr>
            <w:r w:rsidDel="00000000" w:rsidR="00000000" w:rsidRPr="00000000">
              <w:rPr>
                <w:sz w:val="20"/>
                <w:szCs w:val="20"/>
                <w:rtl w:val="0"/>
              </w:rPr>
              <w:t xml:space="preserve">Garantizar que al menos el 90% de los actores(apoderados, alumnos   y profesores) reporten mejoras en el acceso a la información y claridad en la supervisión al finalizar los  5 meses.</w:t>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Para abordar el proyecto, utilizaremos la </w:t>
            </w:r>
            <w:r w:rsidDel="00000000" w:rsidR="00000000" w:rsidRPr="00000000">
              <w:rPr>
                <w:b w:val="1"/>
                <w:sz w:val="20"/>
                <w:szCs w:val="20"/>
                <w:rtl w:val="0"/>
              </w:rPr>
              <w:t xml:space="preserve">metodología “En Cascada”</w:t>
            </w:r>
            <w:r w:rsidDel="00000000" w:rsidR="00000000" w:rsidRPr="00000000">
              <w:rPr>
                <w:sz w:val="20"/>
                <w:szCs w:val="20"/>
                <w:rtl w:val="0"/>
              </w:rPr>
              <w:t xml:space="preserve">. Esta metodología se caracteriza por un enfoque secuencial y estructurado, donde cada fase del proyecto se completa antes de pasar a la siguiente. fases secuenciales: análisis, diseño, desarrollo, pruebas, despliegue.</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765.0" w:type="dxa"/>
        <w:jc w:val="left"/>
        <w:tblInd w:w="-8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65"/>
        <w:tblGridChange w:id="0">
          <w:tblGrid>
            <w:gridCol w:w="9765"/>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6">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Acta de Constitución del Proyecto</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establece formalmente el inicio del proyecto, definiendo los objetivos, recursos y cronograma</w:t>
            </w:r>
          </w:p>
        </w:tc>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el documento base para alinear expectativas, establecer compromisos y garantizar la dirección del proyecto desde su inicio</w:t>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Especificación de Requisitos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Requisitos funcionales y no funcionales definidos para el sistema, alineados con la problemática</w:t>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asegurar que todo el desarrollo posterior se base en necesidades reales y bien comprendidas</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 del Proyecto</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Representación gráfica del cronograma del proyecto con sus respectivas fases, tareas y tiempos</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Esencial para la planificación temporal y la visualización del progreso</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Entidad-Relación (MER)</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la estructura de la base de datos</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validar la lógica de persistencia de datos y su relación con la lógica de negocio</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de Interfaz de Usuario</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Diseño inicial de la interfaz </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Muestra cómo será la interacción del usuario con el sistema y permite recibir feedback anticipado</w:t>
            </w:r>
          </w:p>
        </w:tc>
      </w:tr>
      <w:tr>
        <w:trPr>
          <w:cantSplit w:val="0"/>
          <w:trHeight w:val="362"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 del Backend</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Implementación funcional de la lógica de negocio, autenticación, roles y base de datos con Supabase</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la construcción del sistema desde el servidor, validando reglas de negocio y control de acceso</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 del Frontend</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Implementación completa de la interfaz, lógica de estados y validaciones con React/Vite/Tailwind</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la funcionalidad completa del sistema desde la perspectiva del usuario final</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Pruebas Unitarias y Funcionales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Resultados obtenidos con Bitetest en pruebas unitarias backend/frontend y pruebas funcionales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la calidad y confiabilidad del sistema al verificar que cada parte funcione correctamente</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Seguridad y Permisos</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Evaluación de autenticación, roles, accesos y seguridad del sistema</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Garantiza que el sistema es robusto ante amenazas y está correctamente segmentado por niveles de acceso</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Monitoreo y Métricas</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y análisis de logs y métricas desde Supabase</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evaluar el comportamiento del sistema en producción y su adopción por parte de los usuarios</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Técnica y Funcional</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Manuales para usuarios y administradores, diagramas, y explicación de cada módulo del sistema</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la mantención, uso y futura evolución del sistema</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Cierre del Proyecto</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final que certifica la entrega del proyecto, incluye las lecciones aprendidas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Formaliza la conclusión del trabajo, asegurando su validación y cierre exitoso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740.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65"/>
        <w:gridCol w:w="1665"/>
        <w:gridCol w:w="1395"/>
        <w:gridCol w:w="1575"/>
        <w:gridCol w:w="1575"/>
        <w:gridCol w:w="1575"/>
        <w:tblGridChange w:id="0">
          <w:tblGrid>
            <w:gridCol w:w="1575"/>
            <w:gridCol w:w="1665"/>
            <w:gridCol w:w="1665"/>
            <w:gridCol w:w="1395"/>
            <w:gridCol w:w="1575"/>
            <w:gridCol w:w="1575"/>
            <w:gridCol w:w="1575"/>
          </w:tblGrid>
        </w:tblGridChange>
      </w:tblGrid>
      <w:tr>
        <w:trPr>
          <w:cantSplit w:val="0"/>
          <w:tblHeader w:val="0"/>
        </w:trPr>
        <w:tc>
          <w:tcPr>
            <w:gridSpan w:val="7"/>
          </w:tcPr>
          <w:p w:rsidR="00000000" w:rsidDel="00000000" w:rsidP="00000000" w:rsidRDefault="00000000" w:rsidRPr="00000000" w14:paraId="0000009F">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7">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8">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9">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A">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B">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C">
            <w:pPr>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AD">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Realizar Acta de Constitución</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Inicio formal del proyecto con definición de objetivos, roles y recursos</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Plantilla de acta, reuniones</w:t>
            </w:r>
          </w:p>
        </w:tc>
        <w:tc>
          <w:tcPr>
            <w:tcBorders>
              <w:right w:color="ffffff" w:space="0" w:sz="4" w:val="single"/>
            </w:tcBorders>
          </w:tcPr>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b w:val="1"/>
                <w:sz w:val="18"/>
                <w:szCs w:val="18"/>
              </w:rPr>
            </w:pPr>
            <w:r w:rsidDel="00000000" w:rsidR="00000000" w:rsidRPr="00000000">
              <w:rPr>
                <w:rtl w:val="0"/>
              </w:rPr>
            </w:r>
          </w:p>
        </w:tc>
        <w:tc>
          <w:tcPr/>
          <w:p w:rsidR="00000000" w:rsidDel="00000000" w:rsidP="00000000" w:rsidRDefault="00000000" w:rsidRPr="00000000" w14:paraId="000000B4">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Ingeniería de Requisitos</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Recopilación y Análisis de Requisitos</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Recolección, clasificación y validación de necesidades funcionales y no funcionales</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Reuniones, documentos de análisis</w:t>
            </w:r>
          </w:p>
        </w:tc>
        <w:tc>
          <w:tcPr>
            <w:tcBorders>
              <w:right w:color="ffffff" w:space="0" w:sz="4" w:val="single"/>
            </w:tcBorders>
          </w:tcPr>
          <w:p w:rsidR="00000000" w:rsidDel="00000000" w:rsidP="00000000" w:rsidRDefault="00000000" w:rsidRPr="00000000" w14:paraId="000000B9">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i w:val="1"/>
                <w:color w:val="548dd4"/>
                <w:sz w:val="18"/>
                <w:szCs w:val="18"/>
              </w:rPr>
            </w:pP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Diseño de Software</w:t>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Diseño de la Interfaz de Usuario</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Implementación del prototipo base del sistema usando mockups</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mockups</w:t>
            </w:r>
          </w:p>
        </w:tc>
        <w:tc>
          <w:tcPr>
            <w:tcBorders>
              <w:right w:color="ffffff" w:space="0" w:sz="4" w:val="single"/>
            </w:tcBorders>
          </w:tcPr>
          <w:p w:rsidR="00000000" w:rsidDel="00000000" w:rsidP="00000000" w:rsidRDefault="00000000" w:rsidRPr="00000000" w14:paraId="000000C0">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i w:val="1"/>
                <w:color w:val="548dd4"/>
                <w:sz w:val="18"/>
                <w:szCs w:val="18"/>
              </w:rPr>
            </w:pPr>
            <w:r w:rsidDel="00000000" w:rsidR="00000000" w:rsidRPr="00000000">
              <w:rPr>
                <w:rtl w:val="0"/>
              </w:rPr>
            </w:r>
          </w:p>
        </w:tc>
      </w:tr>
      <w:tr>
        <w:trPr>
          <w:cantSplit w:val="0"/>
          <w:trHeight w:val="1229.2431640624998" w:hRule="atLeast"/>
          <w:tblHeader w:val="0"/>
        </w:trPr>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Diseño de Base de Datos</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Modelo MER y Configuración en Supabase</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Diseño e implementación de la base de datos con relaciones clave</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Supabase, Diagrama ER</w:t>
            </w:r>
          </w:p>
        </w:tc>
        <w:tc>
          <w:tcPr>
            <w:tcBorders>
              <w:right w:color="ffffff" w:space="0" w:sz="4" w:val="single"/>
            </w:tcBorders>
          </w:tcPr>
          <w:p w:rsidR="00000000" w:rsidDel="00000000" w:rsidP="00000000" w:rsidRDefault="00000000" w:rsidRPr="00000000" w14:paraId="000000C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i w:val="1"/>
                <w:color w:val="548dd4"/>
                <w:sz w:val="18"/>
                <w:szCs w:val="18"/>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CA">
                  <w:pPr>
                    <w:jc w:val="both"/>
                    <w:rPr>
                      <w:i w:val="1"/>
                      <w:color w:val="548dd4"/>
                      <w:sz w:val="18"/>
                      <w:szCs w:val="18"/>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C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C">
            <w:pPr>
              <w:jc w:val="both"/>
              <w:rPr>
                <w:i w:val="1"/>
                <w:color w:val="548dd4"/>
                <w:sz w:val="18"/>
                <w:szCs w:val="18"/>
              </w:rPr>
            </w:pP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Programación de Algoritmos</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Desarrollo del Backend con Supabase</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Implementación lógica de negocio, roles y autenticación</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Supabase, Flask</w:t>
            </w:r>
          </w:p>
        </w:tc>
        <w:tc>
          <w:tcPr>
            <w:tcBorders>
              <w:right w:color="ffffff" w:space="0" w:sz="4" w:val="single"/>
            </w:tcBorders>
          </w:tcPr>
          <w:p w:rsidR="00000000" w:rsidDel="00000000" w:rsidP="00000000" w:rsidRDefault="00000000" w:rsidRPr="00000000" w14:paraId="000000D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3">
            <w:pPr>
              <w:jc w:val="both"/>
              <w:rPr>
                <w:i w:val="1"/>
                <w:color w:val="548dd4"/>
                <w:sz w:val="18"/>
                <w:szCs w:val="18"/>
              </w:rPr>
            </w:pP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Desarrollo del Frontend</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Implementación del sistema de vistas, lógica de estado y validaciones</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React, Vite, Tailwind</w:t>
            </w:r>
          </w:p>
        </w:tc>
        <w:tc>
          <w:tcPr>
            <w:tcBorders>
              <w:right w:color="ffffff"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A">
            <w:pPr>
              <w:jc w:val="both"/>
              <w:rPr>
                <w:i w:val="1"/>
                <w:color w:val="548dd4"/>
                <w:sz w:val="18"/>
                <w:szCs w:val="18"/>
              </w:rPr>
            </w:pPr>
            <w:r w:rsidDel="00000000" w:rsidR="00000000" w:rsidRPr="00000000">
              <w:rPr>
                <w:rtl w:val="0"/>
              </w:rPr>
            </w:r>
          </w:p>
        </w:tc>
      </w:tr>
      <w:tr>
        <w:trPr>
          <w:cantSplit w:val="0"/>
          <w:trHeight w:val="731" w:hRule="atLeast"/>
          <w:tblHeader w:val="0"/>
        </w:trPr>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Evaluación de Software</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Pruebas Unitarias y Funcionales</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Ejecución de Bitetest para validar comportamiento del sistema</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Bitetest, Casos de prueba</w:t>
            </w:r>
          </w:p>
        </w:tc>
        <w:tc>
          <w:tcPr>
            <w:tcBorders>
              <w:right w:color="ffffff"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both"/>
              <w:rPr>
                <w:i w:val="1"/>
                <w:color w:val="548dd4"/>
                <w:sz w:val="18"/>
                <w:szCs w:val="18"/>
              </w:rPr>
            </w:pPr>
            <w:r w:rsidDel="00000000" w:rsidR="00000000" w:rsidRPr="00000000">
              <w:rPr>
                <w:rtl w:val="0"/>
              </w:rPr>
            </w:r>
          </w:p>
          <w:tbl>
            <w:tblPr>
              <w:tblStyle w:val="Table18"/>
              <w:tblW w:w="1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tblGridChange w:id="0">
                <w:tblGrid>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2">
            <w:pPr>
              <w:jc w:val="both"/>
              <w:rPr>
                <w:i w:val="1"/>
                <w:color w:val="548dd4"/>
                <w:sz w:val="18"/>
                <w:szCs w:val="18"/>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3">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5">
            <w:pPr>
              <w:jc w:val="both"/>
              <w:rPr>
                <w:i w:val="1"/>
                <w:color w:val="548dd4"/>
                <w:sz w:val="18"/>
                <w:szCs w:val="18"/>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Seguridad Informática</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Pruebas de Seguridad y Permisos</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Validación de roles, autenticación y accesos restringidos</w:t>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Supabase, Herramientas de auditoría</w:t>
            </w:r>
          </w:p>
        </w:tc>
        <w:tc>
          <w:tcPr>
            <w:tcBorders>
              <w:right w:color="ffffff" w:space="0" w:sz="4" w:val="single"/>
            </w:tcBorders>
          </w:tcPr>
          <w:p w:rsidR="00000000" w:rsidDel="00000000" w:rsidP="00000000" w:rsidRDefault="00000000" w:rsidRPr="00000000" w14:paraId="000000E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Gestión de Calidad de Software</w:t>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Documentación Técnica y Funcional</w:t>
            </w:r>
          </w:p>
        </w:tc>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Redacción de manuales, diagramas y arquitectura de sistema</w:t>
            </w:r>
          </w:p>
        </w:tc>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Notion, Markdown, Diagramas</w:t>
            </w:r>
          </w:p>
        </w:tc>
        <w:tc>
          <w:tcPr>
            <w:tcBorders>
              <w:right w:color="ffffff" w:space="0" w:sz="4" w:val="single"/>
            </w:tcBorders>
          </w:tcPr>
          <w:p w:rsidR="00000000" w:rsidDel="00000000" w:rsidP="00000000" w:rsidRDefault="00000000" w:rsidRPr="00000000" w14:paraId="000000F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3">
            <w:pPr>
              <w:jc w:val="both"/>
              <w:rPr>
                <w:i w:val="1"/>
                <w:color w:val="548dd4"/>
                <w:sz w:val="18"/>
                <w:szCs w:val="18"/>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Revisión y Monitoreo</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Análisis de métricas, logs y retroalimentación del sistema</w:t>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Supabase, Paneles</w:t>
            </w:r>
          </w:p>
        </w:tc>
        <w:tc>
          <w:tcPr>
            <w:tcBorders>
              <w:right w:color="ffffff" w:space="0" w:sz="4" w:val="single"/>
            </w:tcBorders>
          </w:tcPr>
          <w:p w:rsidR="00000000" w:rsidDel="00000000" w:rsidP="00000000" w:rsidRDefault="00000000" w:rsidRPr="00000000" w14:paraId="000000F8">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A">
            <w:pPr>
              <w:jc w:val="both"/>
              <w:rPr>
                <w:i w:val="1"/>
                <w:color w:val="548dd4"/>
                <w:sz w:val="18"/>
                <w:szCs w:val="18"/>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Gestión del Conocimiento</w:t>
            </w:r>
          </w:p>
        </w:tc>
        <w:tc>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Lecciones Aprendidas y Cierre</w:t>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Evaluación del proceso completo y entrega formal</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Acta de cierre</w:t>
            </w:r>
          </w:p>
        </w:tc>
        <w:tc>
          <w:tcPr>
            <w:tcBorders>
              <w:right w:color="ffffff" w:space="0" w:sz="4" w:val="single"/>
            </w:tcBorders>
          </w:tcPr>
          <w:p w:rsidR="00000000" w:rsidDel="00000000" w:rsidP="00000000" w:rsidRDefault="00000000" w:rsidRPr="00000000" w14:paraId="000000F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114300" distT="114300" distL="114300" distR="114300">
            <wp:extent cx="5399730" cy="4203700"/>
            <wp:effectExtent b="0" l="0" r="0" t="0"/>
            <wp:docPr id="5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4203700"/>
                    </a:xfrm>
                    <a:prstGeom prst="rect"/>
                    <a:ln/>
                  </pic:spPr>
                </pic:pic>
              </a:graphicData>
            </a:graphic>
          </wp:inline>
        </w:drawing>
      </w:r>
      <w:r w:rsidDel="00000000" w:rsidR="00000000" w:rsidRPr="00000000">
        <w:rPr/>
        <w:drawing>
          <wp:inline distB="114300" distT="114300" distL="114300" distR="114300">
            <wp:extent cx="5399730" cy="2476500"/>
            <wp:effectExtent b="0" l="0" r="0" t="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247650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left w:w="108.0" w:type="dxa"/>
        <w:right w:w="108.0" w:type="dxa"/>
      </w:tblCellMar>
    </w:tblPr>
  </w:style>
  <w:style w:type="table" w:styleId="af4" w:customStyle="1">
    <w:basedOn w:val="TableNormal"/>
    <w:tblPr>
      <w:tblStyleRowBandSize w:val="1"/>
      <w:tblStyleColBandSize w:val="1"/>
      <w:tblCellMar>
        <w:left w:w="108.0" w:type="dxa"/>
        <w:right w:w="108.0" w:type="dxa"/>
      </w:tblCellMar>
    </w:tblPr>
  </w:style>
  <w:style w:type="paragraph" w:styleId="NormalWeb">
    <w:name w:val="Normal (Web)"/>
    <w:basedOn w:val="Normal"/>
    <w:uiPriority w:val="99"/>
    <w:unhideWhenUsed w:val="1"/>
    <w:rsid w:val="00593961"/>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59396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RHUx33dJroUq9V35JYPpHLI3g==">CgMxLjA4AGoxChRzdWdnZXN0Ljg4MXM1aGVyaHlsZhIZRVNURUJBTiAuIEFHVUFZTyBCRVJOQUxFU2oxChRzdWdnZXN0LnBoMXM4ODVkcmRhOBIZRVNURUJBTiAuIEFHVUFZTyBCRVJOQUxFU2oxChRzdWdnZXN0LjdxZ2dnanU0cjFqNxIZRVNURUJBTiAuIEFHVUFZTyBCRVJOQUxFU2oxChRzdWdnZXN0LnI5bDAxeGFlMmo0cBIZRVNURUJBTiAuIEFHVUFZTyBCRVJOQUxFU2oxChRzdWdnZXN0LnF3MmJla296bXdzZhIZRVNURUJBTiAuIEFHVUFZTyBCRVJOQUxFU3IhMU5qbDNTV0VaVDQwbHotbV9VYjZhZWZjUlNfeWp4OV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