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B5616" w14:textId="36530AAA" w:rsidR="009066E0" w:rsidRPr="009066E0" w:rsidRDefault="009066E0" w:rsidP="009066E0">
      <w:pPr>
        <w:jc w:val="center"/>
        <w:rPr>
          <w:b/>
          <w:bCs/>
          <w:sz w:val="56"/>
          <w:szCs w:val="56"/>
        </w:rPr>
      </w:pPr>
      <w:r>
        <w:rPr>
          <w:b/>
          <w:bCs/>
          <w:sz w:val="56"/>
          <w:szCs w:val="56"/>
        </w:rPr>
        <w:t>INFORME DESARROLLO Y OPTIMIZACIÓN DE SISTEMA DONATON</w:t>
      </w:r>
    </w:p>
    <w:p w14:paraId="1F352F83" w14:textId="47F27132" w:rsidR="009066E0" w:rsidRDefault="009066E0" w:rsidP="009066E0">
      <w:pPr>
        <w:jc w:val="center"/>
        <w:rPr>
          <w:b/>
          <w:bCs/>
        </w:rPr>
      </w:pPr>
      <w:r>
        <w:rPr>
          <w:b/>
          <w:bCs/>
        </w:rPr>
        <w:t xml:space="preserve">Asignatura: Desarrollo </w:t>
      </w:r>
      <w:proofErr w:type="spellStart"/>
      <w:r>
        <w:rPr>
          <w:b/>
          <w:bCs/>
        </w:rPr>
        <w:t>Fullstack</w:t>
      </w:r>
      <w:proofErr w:type="spellEnd"/>
      <w:r>
        <w:rPr>
          <w:b/>
          <w:bCs/>
        </w:rPr>
        <w:t xml:space="preserve"> 3</w:t>
      </w:r>
    </w:p>
    <w:p w14:paraId="477D5E25" w14:textId="47C3021F" w:rsidR="009066E0" w:rsidRDefault="009066E0" w:rsidP="009066E0">
      <w:pPr>
        <w:jc w:val="center"/>
        <w:rPr>
          <w:b/>
          <w:bCs/>
        </w:rPr>
      </w:pPr>
      <w:r>
        <w:rPr>
          <w:b/>
          <w:bCs/>
        </w:rPr>
        <w:t>Integrantes: Esteban Bravo | Silvio Peralta | Sebastián Carrera</w:t>
      </w:r>
    </w:p>
    <w:p w14:paraId="2D3692FB" w14:textId="2E45D32C" w:rsidR="009066E0" w:rsidRPr="00A2380E" w:rsidRDefault="009066E0" w:rsidP="009066E0">
      <w:pPr>
        <w:jc w:val="center"/>
        <w:rPr>
          <w:b/>
          <w:bCs/>
        </w:rPr>
      </w:pPr>
    </w:p>
    <w:p w14:paraId="099A94B9" w14:textId="2BDCC4E5" w:rsidR="009066E0" w:rsidRPr="009066E0" w:rsidRDefault="009066E0" w:rsidP="009066E0">
      <w:r w:rsidRPr="009066E0">
        <w:rPr>
          <w:b/>
          <w:bCs/>
        </w:rPr>
        <w:t>A. Diseño de la arquitectura de microservicios</w:t>
      </w:r>
    </w:p>
    <w:p w14:paraId="0A4824D9" w14:textId="77777777" w:rsidR="009066E0" w:rsidRPr="009066E0" w:rsidRDefault="009066E0" w:rsidP="009066E0">
      <w:pPr>
        <w:numPr>
          <w:ilvl w:val="0"/>
          <w:numId w:val="1"/>
        </w:numPr>
      </w:pPr>
      <w:r w:rsidRPr="009066E0">
        <w:t>Diseñamos el sistema como microservicios porque la plataforma de donaciones exige separar responsabilidades claras: autenticación, gestión de usuarios, campañas, donaciones y capa de exposición de datos. Eso nos permitió aislar fallas, desarrollar por módulos y mantener cada servicio con un ciclo de vida propio.</w:t>
      </w:r>
    </w:p>
    <w:p w14:paraId="0CBA4FAF" w14:textId="77777777" w:rsidR="009066E0" w:rsidRPr="009066E0" w:rsidRDefault="009066E0" w:rsidP="009066E0">
      <w:pPr>
        <w:numPr>
          <w:ilvl w:val="0"/>
          <w:numId w:val="1"/>
        </w:numPr>
      </w:pPr>
      <w:r w:rsidRPr="009066E0">
        <w:t xml:space="preserve">En nuestro caso, la arquitectura con ms-user, ms-auth, ms-donation, ms-campaign, bff y api-gateway responde bien a un dominio donde cada parte del negocio tiene reglas </w:t>
      </w:r>
      <w:proofErr w:type="gramStart"/>
      <w:r w:rsidRPr="009066E0">
        <w:t>distintas</w:t>
      </w:r>
      <w:proofErr w:type="gramEnd"/>
      <w:r w:rsidRPr="009066E0">
        <w:t xml:space="preserve"> pero necesita interoperar de forma ordenada.</w:t>
      </w:r>
    </w:p>
    <w:p w14:paraId="628F9E8D" w14:textId="54EA25D9" w:rsidR="009066E0" w:rsidRPr="009066E0" w:rsidRDefault="009066E0" w:rsidP="009066E0">
      <w:pPr>
        <w:numPr>
          <w:ilvl w:val="0"/>
          <w:numId w:val="1"/>
        </w:numPr>
      </w:pPr>
      <w:r w:rsidRPr="009066E0">
        <w:t>Decidimos unificar el almacenamiento en </w:t>
      </w:r>
      <w:proofErr w:type="spellStart"/>
      <w:r w:rsidRPr="009066E0">
        <w:t>postgres-shared</w:t>
      </w:r>
      <w:proofErr w:type="spellEnd"/>
      <w:r w:rsidRPr="009066E0">
        <w:t> porque en un entorno local el mayor problema era el costo físico de ejecutarla. Tener varias bases independientes aumentaba demasiado el consumo de RAM, disco y tiempo de arranque.</w:t>
      </w:r>
    </w:p>
    <w:p w14:paraId="3AC266FB" w14:textId="77777777" w:rsidR="009066E0" w:rsidRPr="009066E0" w:rsidRDefault="009066E0" w:rsidP="009066E0">
      <w:pPr>
        <w:numPr>
          <w:ilvl w:val="0"/>
          <w:numId w:val="1"/>
        </w:numPr>
      </w:pPr>
      <w:r w:rsidRPr="009066E0">
        <w:t>Desde un criterio de sostenibilidad técnica, la unificación nos permitió mantener el mismo modelo de desarrollo distribuido, pero con un uso mucho más eficiente de recursos. Esto hizo viable seguir trabajando en Windows con Docker Desktop y WSL2 sin saturar la máquina.</w:t>
      </w:r>
    </w:p>
    <w:p w14:paraId="4EF58A44" w14:textId="77777777" w:rsidR="009066E0" w:rsidRPr="009066E0" w:rsidRDefault="009066E0" w:rsidP="009066E0">
      <w:r w:rsidRPr="009066E0">
        <w:rPr>
          <w:b/>
          <w:bCs/>
        </w:rPr>
        <w:t xml:space="preserve">B. Decisiones en el desarrollo de componentes </w:t>
      </w:r>
      <w:proofErr w:type="spellStart"/>
      <w:r w:rsidRPr="009066E0">
        <w:rPr>
          <w:b/>
          <w:bCs/>
        </w:rPr>
        <w:t>backend</w:t>
      </w:r>
      <w:proofErr w:type="spellEnd"/>
      <w:r w:rsidRPr="009066E0">
        <w:rPr>
          <w:b/>
          <w:bCs/>
        </w:rPr>
        <w:t xml:space="preserve"> y </w:t>
      </w:r>
      <w:proofErr w:type="spellStart"/>
      <w:r w:rsidRPr="009066E0">
        <w:rPr>
          <w:b/>
          <w:bCs/>
        </w:rPr>
        <w:t>frontend</w:t>
      </w:r>
      <w:proofErr w:type="spellEnd"/>
    </w:p>
    <w:p w14:paraId="3CC63FCD" w14:textId="77777777" w:rsidR="009066E0" w:rsidRPr="009066E0" w:rsidRDefault="009066E0" w:rsidP="009066E0">
      <w:pPr>
        <w:numPr>
          <w:ilvl w:val="0"/>
          <w:numId w:val="2"/>
        </w:numPr>
      </w:pPr>
      <w:r w:rsidRPr="009066E0">
        <w:t xml:space="preserve">En </w:t>
      </w:r>
      <w:proofErr w:type="spellStart"/>
      <w:r w:rsidRPr="009066E0">
        <w:t>backend</w:t>
      </w:r>
      <w:proofErr w:type="spellEnd"/>
      <w:r w:rsidRPr="009066E0">
        <w:t xml:space="preserve"> usamos Gradle para compilar los microservicios Spring Boot porque nos dio una forma consistente de construir cada servicio, administrar dependencias y generar los artefactos </w:t>
      </w:r>
      <w:proofErr w:type="spellStart"/>
      <w:r w:rsidRPr="009066E0">
        <w:t>bootJar</w:t>
      </w:r>
      <w:proofErr w:type="spellEnd"/>
      <w:r w:rsidRPr="009066E0">
        <w:t> de forma repetible.</w:t>
      </w:r>
    </w:p>
    <w:p w14:paraId="1C8A60EF" w14:textId="77777777" w:rsidR="009066E0" w:rsidRPr="009066E0" w:rsidRDefault="009066E0" w:rsidP="009066E0">
      <w:pPr>
        <w:numPr>
          <w:ilvl w:val="0"/>
          <w:numId w:val="2"/>
        </w:numPr>
      </w:pPr>
      <w:r w:rsidRPr="009066E0">
        <w:lastRenderedPageBreak/>
        <w:t xml:space="preserve">En </w:t>
      </w:r>
      <w:proofErr w:type="spellStart"/>
      <w:r w:rsidRPr="009066E0">
        <w:t>frontend</w:t>
      </w:r>
      <w:proofErr w:type="spellEnd"/>
      <w:r w:rsidRPr="009066E0">
        <w:t xml:space="preserve"> elegimos </w:t>
      </w:r>
      <w:proofErr w:type="spellStart"/>
      <w:r w:rsidRPr="009066E0">
        <w:t>NextJS</w:t>
      </w:r>
      <w:proofErr w:type="spellEnd"/>
      <w:r w:rsidRPr="009066E0">
        <w:t>/</w:t>
      </w:r>
      <w:proofErr w:type="spellStart"/>
      <w:r w:rsidRPr="009066E0">
        <w:t>React</w:t>
      </w:r>
      <w:proofErr w:type="spellEnd"/>
      <w:r w:rsidRPr="009066E0">
        <w:t xml:space="preserve"> porque necesitábamos una interfaz moderna, rápida de mantener y adecuada para consumir datos de forma flexible desde la capa BFF.</w:t>
      </w:r>
    </w:p>
    <w:p w14:paraId="03B572EA" w14:textId="77777777" w:rsidR="009066E0" w:rsidRPr="009066E0" w:rsidRDefault="009066E0" w:rsidP="009066E0">
      <w:pPr>
        <w:numPr>
          <w:ilvl w:val="0"/>
          <w:numId w:val="2"/>
        </w:numPr>
      </w:pPr>
      <w:r w:rsidRPr="009066E0">
        <w:t>Una de las dificultades principales fue que al principio arrastramos dependencias corruptas y cachés de Gradle demasiado pesadas. Eso nos afectó tanto en tiempo de compilación como en almacenamiento, especialmente cuando el espacio en disco se volvió crítico.</w:t>
      </w:r>
    </w:p>
    <w:p w14:paraId="6306366D" w14:textId="77777777" w:rsidR="009066E0" w:rsidRPr="009066E0" w:rsidRDefault="009066E0" w:rsidP="009066E0">
      <w:pPr>
        <w:numPr>
          <w:ilvl w:val="0"/>
          <w:numId w:val="2"/>
        </w:numPr>
      </w:pPr>
      <w:r w:rsidRPr="009066E0">
        <w:t xml:space="preserve">Para optimizar el proceso, automatizamos la compilación y limpieza desde VS Code con tareas que ejecutan los </w:t>
      </w:r>
      <w:proofErr w:type="spellStart"/>
      <w:r w:rsidRPr="009066E0">
        <w:t>builds</w:t>
      </w:r>
      <w:proofErr w:type="spellEnd"/>
      <w:r w:rsidRPr="009066E0">
        <w:t xml:space="preserve"> de los microservicios y terminan con una limpieza de imágenes Docker obsoletas. Eso redujo el ruido del entorno y estabilizó el flujo de trabajo diario.</w:t>
      </w:r>
    </w:p>
    <w:p w14:paraId="0062CF04" w14:textId="77777777" w:rsidR="009066E0" w:rsidRPr="009066E0" w:rsidRDefault="009066E0" w:rsidP="009066E0">
      <w:pPr>
        <w:numPr>
          <w:ilvl w:val="0"/>
          <w:numId w:val="2"/>
        </w:numPr>
      </w:pPr>
      <w:r w:rsidRPr="009066E0">
        <w:t>También entendimos que el problema no era solo “compilar más rápido”, sino mantener un entorno de desarrollo más liviano y predecible, evitando acumulaciones innecesarias de caché y artefactos.</w:t>
      </w:r>
    </w:p>
    <w:p w14:paraId="69AC70A4" w14:textId="77777777" w:rsidR="009066E0" w:rsidRPr="009066E0" w:rsidRDefault="009066E0" w:rsidP="009066E0">
      <w:r w:rsidRPr="009066E0">
        <w:rPr>
          <w:b/>
          <w:bCs/>
        </w:rPr>
        <w:t>C. Aplicación de patrones de diseño</w:t>
      </w:r>
    </w:p>
    <w:p w14:paraId="176A3985" w14:textId="77777777" w:rsidR="009066E0" w:rsidRPr="009066E0" w:rsidRDefault="009066E0" w:rsidP="009066E0">
      <w:pPr>
        <w:numPr>
          <w:ilvl w:val="0"/>
          <w:numId w:val="3"/>
        </w:numPr>
      </w:pPr>
      <w:r w:rsidRPr="009066E0">
        <w:t>El patrón API Gateway nos ayudó a centralizar las peticiones de entrada hacia el ecosistema de microservicios. En vez de exponer cada servicio directamente, concentramos el acceso en un punto único, lo que simplificó la comunicación y mejoró el control del tráfico.</w:t>
      </w:r>
    </w:p>
    <w:p w14:paraId="612D616E" w14:textId="77777777" w:rsidR="009066E0" w:rsidRPr="009066E0" w:rsidRDefault="009066E0" w:rsidP="009066E0">
      <w:pPr>
        <w:numPr>
          <w:ilvl w:val="0"/>
          <w:numId w:val="3"/>
        </w:numPr>
      </w:pPr>
      <w:r w:rsidRPr="009066E0">
        <w:t xml:space="preserve">Esto nos dio una capa clara para manejar enrutamiento, desacoplar el </w:t>
      </w:r>
      <w:proofErr w:type="spellStart"/>
      <w:r w:rsidRPr="009066E0">
        <w:t>frontend</w:t>
      </w:r>
      <w:proofErr w:type="spellEnd"/>
      <w:r w:rsidRPr="009066E0">
        <w:t xml:space="preserve"> de la estructura interna de los servicios y mantener una entrada más ordenada al sistema.</w:t>
      </w:r>
    </w:p>
    <w:p w14:paraId="24FFA90E" w14:textId="77777777" w:rsidR="009066E0" w:rsidRPr="009066E0" w:rsidRDefault="009066E0" w:rsidP="009066E0">
      <w:pPr>
        <w:numPr>
          <w:ilvl w:val="0"/>
          <w:numId w:val="3"/>
        </w:numPr>
      </w:pPr>
      <w:r w:rsidRPr="009066E0">
        <w:t xml:space="preserve">El patrón BFF fue clave para adaptar los datos al consumo específico del </w:t>
      </w:r>
      <w:proofErr w:type="spellStart"/>
      <w:r w:rsidRPr="009066E0">
        <w:t>frontend</w:t>
      </w:r>
      <w:proofErr w:type="spellEnd"/>
      <w:r w:rsidRPr="009066E0">
        <w:t xml:space="preserve"> en </w:t>
      </w:r>
      <w:proofErr w:type="spellStart"/>
      <w:r w:rsidRPr="009066E0">
        <w:t>NextJS</w:t>
      </w:r>
      <w:proofErr w:type="spellEnd"/>
      <w:r w:rsidRPr="009066E0">
        <w:t>. No siempre necesitábamos enviar la estructura cruda de los microservicios; muchas veces convenía transformarla antes de llegar a la interfaz.</w:t>
      </w:r>
    </w:p>
    <w:p w14:paraId="7F054DBB" w14:textId="77777777" w:rsidR="009066E0" w:rsidRPr="009066E0" w:rsidRDefault="009066E0" w:rsidP="009066E0">
      <w:pPr>
        <w:numPr>
          <w:ilvl w:val="0"/>
          <w:numId w:val="3"/>
        </w:numPr>
      </w:pPr>
      <w:r w:rsidRPr="009066E0">
        <w:t xml:space="preserve">Ese enfoque mejoró </w:t>
      </w:r>
      <w:proofErr w:type="gramStart"/>
      <w:r w:rsidRPr="009066E0">
        <w:t>la modularidad</w:t>
      </w:r>
      <w:proofErr w:type="gramEnd"/>
      <w:r w:rsidRPr="009066E0">
        <w:t xml:space="preserve">, redujo el acoplamiento entre </w:t>
      </w:r>
      <w:proofErr w:type="spellStart"/>
      <w:r w:rsidRPr="009066E0">
        <w:t>frontend</w:t>
      </w:r>
      <w:proofErr w:type="spellEnd"/>
      <w:r w:rsidRPr="009066E0">
        <w:t xml:space="preserve"> y </w:t>
      </w:r>
      <w:proofErr w:type="spellStart"/>
      <w:r w:rsidRPr="009066E0">
        <w:t>backend</w:t>
      </w:r>
      <w:proofErr w:type="spellEnd"/>
      <w:r w:rsidRPr="009066E0">
        <w:t xml:space="preserve"> y nos permitió optimizar la cantidad de datos transferidos por red. En la práctica, fue una solución </w:t>
      </w:r>
      <w:proofErr w:type="gramStart"/>
      <w:r w:rsidRPr="009066E0">
        <w:t>más eficiente y más limpia</w:t>
      </w:r>
      <w:proofErr w:type="gramEnd"/>
      <w:r w:rsidRPr="009066E0">
        <w:t xml:space="preserve"> para una interfaz que requiere respuestas ajustadas a su presentación.</w:t>
      </w:r>
    </w:p>
    <w:p w14:paraId="0984025D" w14:textId="77777777" w:rsidR="009066E0" w:rsidRPr="009066E0" w:rsidRDefault="009066E0" w:rsidP="009066E0">
      <w:r w:rsidRPr="009066E0">
        <w:rPr>
          <w:b/>
          <w:bCs/>
        </w:rPr>
        <w:t xml:space="preserve">D. Estrategia de </w:t>
      </w:r>
      <w:proofErr w:type="spellStart"/>
      <w:r w:rsidRPr="009066E0">
        <w:rPr>
          <w:b/>
          <w:bCs/>
        </w:rPr>
        <w:t>branching</w:t>
      </w:r>
      <w:proofErr w:type="spellEnd"/>
      <w:r w:rsidRPr="009066E0">
        <w:rPr>
          <w:b/>
          <w:bCs/>
        </w:rPr>
        <w:t xml:space="preserve"> y gestión de versiones</w:t>
      </w:r>
    </w:p>
    <w:p w14:paraId="285B4DFA" w14:textId="77777777" w:rsidR="009066E0" w:rsidRPr="009066E0" w:rsidRDefault="009066E0" w:rsidP="009066E0">
      <w:pPr>
        <w:numPr>
          <w:ilvl w:val="0"/>
          <w:numId w:val="4"/>
        </w:numPr>
      </w:pPr>
      <w:r w:rsidRPr="009066E0">
        <w:t xml:space="preserve">Usar Git nos permitió coordinar el trabajo del equipo de forma ordenada, manteniendo ramas separadas para cada microservicio y para el </w:t>
      </w:r>
      <w:proofErr w:type="spellStart"/>
      <w:r w:rsidRPr="009066E0">
        <w:t>frontend</w:t>
      </w:r>
      <w:proofErr w:type="spellEnd"/>
      <w:r w:rsidRPr="009066E0">
        <w:t>.</w:t>
      </w:r>
    </w:p>
    <w:p w14:paraId="51CB3F65" w14:textId="77777777" w:rsidR="009066E0" w:rsidRPr="009066E0" w:rsidRDefault="009066E0" w:rsidP="009066E0">
      <w:pPr>
        <w:numPr>
          <w:ilvl w:val="0"/>
          <w:numId w:val="4"/>
        </w:numPr>
      </w:pPr>
      <w:r w:rsidRPr="009066E0">
        <w:lastRenderedPageBreak/>
        <w:t xml:space="preserve">La estrategia de </w:t>
      </w:r>
      <w:proofErr w:type="spellStart"/>
      <w:r w:rsidRPr="009066E0">
        <w:t>branching</w:t>
      </w:r>
      <w:proofErr w:type="spellEnd"/>
      <w:r w:rsidRPr="009066E0">
        <w:t xml:space="preserve"> facilitó integrar cambios sin sobrescribir el trabajo de otras personas y nos ayudó a detectar conflictos antes de que llegaran a la rama principal.</w:t>
      </w:r>
    </w:p>
    <w:p w14:paraId="7D4BDBC8" w14:textId="77777777" w:rsidR="009066E0" w:rsidRPr="009066E0" w:rsidRDefault="009066E0" w:rsidP="009066E0">
      <w:pPr>
        <w:numPr>
          <w:ilvl w:val="0"/>
          <w:numId w:val="4"/>
        </w:numPr>
      </w:pPr>
      <w:r w:rsidRPr="009066E0">
        <w:t>También mejoró la trazabilidad: pudimos identificar qué cambios pertenecían a cada funcionalidad, revisar avances por módulo y fusionar de manera controlada.</w:t>
      </w:r>
    </w:p>
    <w:p w14:paraId="623B7C8B" w14:textId="77777777" w:rsidR="009066E0" w:rsidRPr="009066E0" w:rsidRDefault="009066E0" w:rsidP="009066E0">
      <w:pPr>
        <w:numPr>
          <w:ilvl w:val="0"/>
          <w:numId w:val="4"/>
        </w:numPr>
      </w:pPr>
      <w:r w:rsidRPr="009066E0">
        <w:t>En un proyecto distribuido como este, Git fue fundamental para mantener estabilidad y para que la integración de los distintos componentes no se transformara en un problema de coordinación.</w:t>
      </w:r>
    </w:p>
    <w:p w14:paraId="1F25C820" w14:textId="77777777" w:rsidR="009066E0" w:rsidRPr="009066E0" w:rsidRDefault="009066E0" w:rsidP="009066E0">
      <w:r w:rsidRPr="009066E0">
        <w:rPr>
          <w:b/>
          <w:bCs/>
        </w:rPr>
        <w:t xml:space="preserve">E. Integración de componentes </w:t>
      </w:r>
      <w:proofErr w:type="spellStart"/>
      <w:r w:rsidRPr="009066E0">
        <w:rPr>
          <w:b/>
          <w:bCs/>
        </w:rPr>
        <w:t>backend</w:t>
      </w:r>
      <w:proofErr w:type="spellEnd"/>
      <w:r w:rsidRPr="009066E0">
        <w:rPr>
          <w:b/>
          <w:bCs/>
        </w:rPr>
        <w:t xml:space="preserve">, </w:t>
      </w:r>
      <w:proofErr w:type="spellStart"/>
      <w:r w:rsidRPr="009066E0">
        <w:rPr>
          <w:b/>
          <w:bCs/>
        </w:rPr>
        <w:t>frontend</w:t>
      </w:r>
      <w:proofErr w:type="spellEnd"/>
      <w:r w:rsidRPr="009066E0">
        <w:rPr>
          <w:b/>
          <w:bCs/>
        </w:rPr>
        <w:t xml:space="preserve"> y base de datos</w:t>
      </w:r>
    </w:p>
    <w:p w14:paraId="077B2F1F" w14:textId="77777777" w:rsidR="009066E0" w:rsidRPr="009066E0" w:rsidRDefault="009066E0" w:rsidP="009066E0">
      <w:pPr>
        <w:numPr>
          <w:ilvl w:val="0"/>
          <w:numId w:val="5"/>
        </w:numPr>
      </w:pPr>
      <w:r w:rsidRPr="009066E0">
        <w:t xml:space="preserve">La integración entre </w:t>
      </w:r>
      <w:proofErr w:type="spellStart"/>
      <w:r w:rsidRPr="009066E0">
        <w:t>frontend</w:t>
      </w:r>
      <w:proofErr w:type="spellEnd"/>
      <w:r w:rsidRPr="009066E0">
        <w:t xml:space="preserve">, API Gateway y base de datos la trabajamos dentro de </w:t>
      </w:r>
      <w:proofErr w:type="spellStart"/>
      <w:r w:rsidRPr="009066E0">
        <w:t>Kubernetes</w:t>
      </w:r>
      <w:proofErr w:type="spellEnd"/>
      <w:r w:rsidRPr="009066E0">
        <w:t xml:space="preserve"> para simular un entorno más cercano a despliegue real, pero manteniéndolo local en Docker Desktop con WSL2.</w:t>
      </w:r>
    </w:p>
    <w:p w14:paraId="1BCB7448" w14:textId="77777777" w:rsidR="009066E0" w:rsidRPr="009066E0" w:rsidRDefault="009066E0" w:rsidP="009066E0">
      <w:pPr>
        <w:numPr>
          <w:ilvl w:val="0"/>
          <w:numId w:val="5"/>
        </w:numPr>
      </w:pPr>
      <w:r w:rsidRPr="009066E0">
        <w:t>Al inicio usamos </w:t>
      </w:r>
      <w:proofErr w:type="spellStart"/>
      <w:r w:rsidRPr="009066E0">
        <w:t>NodePort</w:t>
      </w:r>
      <w:proofErr w:type="spellEnd"/>
      <w:r w:rsidRPr="009066E0">
        <w:t xml:space="preserve"> con el puerto 30000 para exponer el </w:t>
      </w:r>
      <w:proofErr w:type="spellStart"/>
      <w:r w:rsidRPr="009066E0">
        <w:t>frontend</w:t>
      </w:r>
      <w:proofErr w:type="spellEnd"/>
      <w:r w:rsidRPr="009066E0">
        <w:t>, pero esa solución era más manual y menos cómoda para el desarrollo cotidiano.</w:t>
      </w:r>
    </w:p>
    <w:p w14:paraId="6738B496" w14:textId="77777777" w:rsidR="009066E0" w:rsidRPr="009066E0" w:rsidRDefault="009066E0" w:rsidP="009066E0">
      <w:pPr>
        <w:numPr>
          <w:ilvl w:val="0"/>
          <w:numId w:val="5"/>
        </w:numPr>
      </w:pPr>
      <w:r w:rsidRPr="009066E0">
        <w:t>Después migramos a un Service de tipo </w:t>
      </w:r>
      <w:proofErr w:type="spellStart"/>
      <w:r w:rsidRPr="009066E0">
        <w:t>LoadBalancer</w:t>
      </w:r>
      <w:proofErr w:type="spellEnd"/>
      <w:r w:rsidRPr="009066E0">
        <w:t xml:space="preserve"> apuntando al puerto 3000, lo que permitió que Docker Desktop expusiera automáticamente la aplicación </w:t>
      </w:r>
      <w:proofErr w:type="spellStart"/>
      <w:r w:rsidRPr="009066E0">
        <w:t>NextJS</w:t>
      </w:r>
      <w:proofErr w:type="spellEnd"/>
      <w:r w:rsidRPr="009066E0">
        <w:t xml:space="preserve"> en http://localhost:3000.</w:t>
      </w:r>
    </w:p>
    <w:p w14:paraId="0574D4CF" w14:textId="77777777" w:rsidR="009066E0" w:rsidRPr="009066E0" w:rsidRDefault="009066E0" w:rsidP="009066E0">
      <w:pPr>
        <w:numPr>
          <w:ilvl w:val="0"/>
          <w:numId w:val="5"/>
        </w:numPr>
      </w:pPr>
      <w:r w:rsidRPr="009066E0">
        <w:t>Ese cambio simplificó mucho la experiencia local, porque evitó redirecciones manuales y dejó una integración más directa entre la interfaz y el ecosistema de servicios.</w:t>
      </w:r>
    </w:p>
    <w:p w14:paraId="6E14B568" w14:textId="77777777" w:rsidR="009066E0" w:rsidRPr="009066E0" w:rsidRDefault="009066E0" w:rsidP="009066E0">
      <w:pPr>
        <w:numPr>
          <w:ilvl w:val="0"/>
          <w:numId w:val="5"/>
        </w:numPr>
      </w:pPr>
      <w:r w:rsidRPr="009066E0">
        <w:t xml:space="preserve">La conexión por </w:t>
      </w:r>
      <w:proofErr w:type="spellStart"/>
      <w:r w:rsidRPr="009066E0">
        <w:t>Kubernetes</w:t>
      </w:r>
      <w:proofErr w:type="spellEnd"/>
      <w:r w:rsidRPr="009066E0">
        <w:t xml:space="preserve"> nos ayudó a validar el comportamiento completo del sistema, desde la UI hasta el acceso a los microservicios y la persistencia compartida en </w:t>
      </w:r>
      <w:proofErr w:type="spellStart"/>
      <w:r w:rsidRPr="009066E0">
        <w:t>postgres-shared</w:t>
      </w:r>
      <w:proofErr w:type="spellEnd"/>
      <w:r w:rsidRPr="009066E0">
        <w:t>.</w:t>
      </w:r>
    </w:p>
    <w:p w14:paraId="2B803711" w14:textId="77777777" w:rsidR="009066E0" w:rsidRPr="009066E0" w:rsidRDefault="009066E0" w:rsidP="009066E0">
      <w:r w:rsidRPr="009066E0">
        <w:rPr>
          <w:b/>
          <w:bCs/>
        </w:rPr>
        <w:t>F. Pruebas unitarias y aseguramiento de la calidad</w:t>
      </w:r>
    </w:p>
    <w:p w14:paraId="70CD4A62" w14:textId="77777777" w:rsidR="009066E0" w:rsidRPr="009066E0" w:rsidRDefault="009066E0" w:rsidP="009066E0">
      <w:pPr>
        <w:numPr>
          <w:ilvl w:val="0"/>
          <w:numId w:val="6"/>
        </w:numPr>
      </w:pPr>
      <w:r w:rsidRPr="009066E0">
        <w:t>Ejecutar pruebas unitarias locales en los microservicios Java nos permitió validar la lógica crítica antes de construir imágenes Docker. Eso fue especialmente importante en dos áreas sensibles: autenticación de usuarios y procesamiento de donaciones.</w:t>
      </w:r>
    </w:p>
    <w:p w14:paraId="0EAB8F2F" w14:textId="77777777" w:rsidR="009066E0" w:rsidRPr="009066E0" w:rsidRDefault="009066E0" w:rsidP="009066E0">
      <w:pPr>
        <w:numPr>
          <w:ilvl w:val="0"/>
          <w:numId w:val="6"/>
        </w:numPr>
      </w:pPr>
      <w:r w:rsidRPr="009066E0">
        <w:t xml:space="preserve">Gracias a esas pruebas, pudimos detectar errores temprano, antes de que se propagaran a etapas más costosas como el empaquetado, el despliegue en </w:t>
      </w:r>
      <w:proofErr w:type="spellStart"/>
      <w:r w:rsidRPr="009066E0">
        <w:t>Kubernetes</w:t>
      </w:r>
      <w:proofErr w:type="spellEnd"/>
      <w:r w:rsidRPr="009066E0">
        <w:t xml:space="preserve"> o la integración entre servicios.</w:t>
      </w:r>
    </w:p>
    <w:p w14:paraId="66A0C208" w14:textId="77777777" w:rsidR="009066E0" w:rsidRPr="009066E0" w:rsidRDefault="009066E0" w:rsidP="009066E0">
      <w:pPr>
        <w:numPr>
          <w:ilvl w:val="0"/>
          <w:numId w:val="6"/>
        </w:numPr>
      </w:pPr>
      <w:r w:rsidRPr="009066E0">
        <w:lastRenderedPageBreak/>
        <w:t>También nos ayudó a mantener confianza en los cambios: cada microservicio podía verificarse de forma aislada sin depender de toda la plataforma funcionando al mismo tiempo.</w:t>
      </w:r>
    </w:p>
    <w:p w14:paraId="002C27CD" w14:textId="43C33CF0" w:rsidR="009066E0" w:rsidRDefault="009066E0" w:rsidP="009066E0">
      <w:pPr>
        <w:numPr>
          <w:ilvl w:val="0"/>
          <w:numId w:val="6"/>
        </w:numPr>
      </w:pPr>
      <w:r w:rsidRPr="009066E0">
        <w:t>En un proyecto con lógica de negocio distribuida, las pruebas unitarias aportaron estabilidad real, porque redujeron el riesgo de introducir fallas en procesos que son críticos para la experiencia del usuario y para la coherencia del sistema.</w:t>
      </w:r>
    </w:p>
    <w:p w14:paraId="3168B02C" w14:textId="77777777" w:rsidR="008C4ACB" w:rsidRDefault="008C4ACB" w:rsidP="008C4ACB"/>
    <w:p w14:paraId="36FCC628" w14:textId="77777777" w:rsidR="008C4ACB" w:rsidRDefault="008C4ACB" w:rsidP="008C4ACB"/>
    <w:sectPr w:rsidR="008C4AC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648B4"/>
    <w:multiLevelType w:val="multilevel"/>
    <w:tmpl w:val="C738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A663D"/>
    <w:multiLevelType w:val="multilevel"/>
    <w:tmpl w:val="F50A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D55890"/>
    <w:multiLevelType w:val="multilevel"/>
    <w:tmpl w:val="CDB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A244D4"/>
    <w:multiLevelType w:val="multilevel"/>
    <w:tmpl w:val="8294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7D72C6"/>
    <w:multiLevelType w:val="multilevel"/>
    <w:tmpl w:val="EE56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A82974"/>
    <w:multiLevelType w:val="multilevel"/>
    <w:tmpl w:val="164E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264447">
    <w:abstractNumId w:val="0"/>
  </w:num>
  <w:num w:numId="2" w16cid:durableId="1485969665">
    <w:abstractNumId w:val="2"/>
  </w:num>
  <w:num w:numId="3" w16cid:durableId="1355381927">
    <w:abstractNumId w:val="4"/>
  </w:num>
  <w:num w:numId="4" w16cid:durableId="1731070690">
    <w:abstractNumId w:val="3"/>
  </w:num>
  <w:num w:numId="5" w16cid:durableId="1838113674">
    <w:abstractNumId w:val="1"/>
  </w:num>
  <w:num w:numId="6" w16cid:durableId="15755074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6E0"/>
    <w:rsid w:val="008C4ACB"/>
    <w:rsid w:val="009066E0"/>
    <w:rsid w:val="00A2380E"/>
    <w:rsid w:val="00B13FA4"/>
    <w:rsid w:val="00D76D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E23C4"/>
  <w15:chartTrackingRefBased/>
  <w15:docId w15:val="{CD7A9AF2-5A9F-4EFD-9F79-A5C8C0A62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6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06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066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66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66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66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66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66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66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66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066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066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66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66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66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66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66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66E0"/>
    <w:rPr>
      <w:rFonts w:eastAsiaTheme="majorEastAsia" w:cstheme="majorBidi"/>
      <w:color w:val="272727" w:themeColor="text1" w:themeTint="D8"/>
    </w:rPr>
  </w:style>
  <w:style w:type="paragraph" w:styleId="Ttulo">
    <w:name w:val="Title"/>
    <w:basedOn w:val="Normal"/>
    <w:next w:val="Normal"/>
    <w:link w:val="TtuloCar"/>
    <w:uiPriority w:val="10"/>
    <w:qFormat/>
    <w:rsid w:val="00906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66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66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66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66E0"/>
    <w:pPr>
      <w:spacing w:before="160"/>
      <w:jc w:val="center"/>
    </w:pPr>
    <w:rPr>
      <w:i/>
      <w:iCs/>
      <w:color w:val="404040" w:themeColor="text1" w:themeTint="BF"/>
    </w:rPr>
  </w:style>
  <w:style w:type="character" w:customStyle="1" w:styleId="CitaCar">
    <w:name w:val="Cita Car"/>
    <w:basedOn w:val="Fuentedeprrafopredeter"/>
    <w:link w:val="Cita"/>
    <w:uiPriority w:val="29"/>
    <w:rsid w:val="009066E0"/>
    <w:rPr>
      <w:i/>
      <w:iCs/>
      <w:color w:val="404040" w:themeColor="text1" w:themeTint="BF"/>
    </w:rPr>
  </w:style>
  <w:style w:type="paragraph" w:styleId="Prrafodelista">
    <w:name w:val="List Paragraph"/>
    <w:basedOn w:val="Normal"/>
    <w:uiPriority w:val="34"/>
    <w:qFormat/>
    <w:rsid w:val="009066E0"/>
    <w:pPr>
      <w:ind w:left="720"/>
      <w:contextualSpacing/>
    </w:pPr>
  </w:style>
  <w:style w:type="character" w:styleId="nfasisintenso">
    <w:name w:val="Intense Emphasis"/>
    <w:basedOn w:val="Fuentedeprrafopredeter"/>
    <w:uiPriority w:val="21"/>
    <w:qFormat/>
    <w:rsid w:val="009066E0"/>
    <w:rPr>
      <w:i/>
      <w:iCs/>
      <w:color w:val="0F4761" w:themeColor="accent1" w:themeShade="BF"/>
    </w:rPr>
  </w:style>
  <w:style w:type="paragraph" w:styleId="Citadestacada">
    <w:name w:val="Intense Quote"/>
    <w:basedOn w:val="Normal"/>
    <w:next w:val="Normal"/>
    <w:link w:val="CitadestacadaCar"/>
    <w:uiPriority w:val="30"/>
    <w:qFormat/>
    <w:rsid w:val="00906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66E0"/>
    <w:rPr>
      <w:i/>
      <w:iCs/>
      <w:color w:val="0F4761" w:themeColor="accent1" w:themeShade="BF"/>
    </w:rPr>
  </w:style>
  <w:style w:type="character" w:styleId="Referenciaintensa">
    <w:name w:val="Intense Reference"/>
    <w:basedOn w:val="Fuentedeprrafopredeter"/>
    <w:uiPriority w:val="32"/>
    <w:qFormat/>
    <w:rsid w:val="009066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4</Pages>
  <Words>920</Words>
  <Characters>5061</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BENJAMIN BRAVO ARANEDA</dc:creator>
  <cp:keywords/>
  <dc:description/>
  <cp:lastModifiedBy>ESTEBAN BENJAMIN BRAVO ARANEDA</cp:lastModifiedBy>
  <cp:revision>2</cp:revision>
  <dcterms:created xsi:type="dcterms:W3CDTF">2026-07-14T02:33:00Z</dcterms:created>
  <dcterms:modified xsi:type="dcterms:W3CDTF">2026-07-14T05:32:00Z</dcterms:modified>
</cp:coreProperties>
</file>