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Proyecto: MisMascotas</w:t>
            </w:r>
          </w:p>
        </w:tc>
        <w:tc>
          <w:tcPr>
            <w:tcW w:type="dxa" w:w="41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Fecha:  __/__/____</w:t>
            </w:r>
          </w:p>
        </w:tc>
      </w:tr>
      <w:tr>
        <w:tc>
          <w:tcPr>
            <w:tcW w:type="dxa" w:w="520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Caso de Uso: "Iniciar sesión"</w:t>
            </w:r>
          </w:p>
        </w:tc>
        <w:tc>
          <w:tcPr>
            <w:tcW w:type="dxa" w:w="416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ID: CU2</w:t>
            </w:r>
          </w:p>
        </w:tc>
      </w:tr>
      <w:tr>
        <w:tc>
          <w:tcPr>
            <w:tcW w:type="dxa" w:w="52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Actor: </w:t>
            </w:r>
            <w:r>
              <w:rPr>
                <w:rFonts w:ascii="Arial" w:cs="Arial" w:eastAsia="Arial" w:hAnsi="Arial"/>
                <w:color w:val="222222"/>
                <w:sz w:val="20"/>
                <w:szCs w:val="20"/>
              </w:rPr>
              <w:t xml:space="preserve">Usuario</w:t>
            </w:r>
          </w:p>
        </w:tc>
        <w:tc>
          <w:tcPr>
            <w:tcW w:type="dxa" w:w="416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jc w:val="right"/>
            </w:pPr>
            <w:r>
              <w:rPr>
                <w:rFonts w:ascii="Arial" w:cs="Arial" w:eastAsia="Arial" w:hAnsi="Arial"/>
                <w:color w:val="222222"/>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Versión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2.0 — Fusión con procesamiento interno (ex CU18)</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Dependencias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RN-008 La sesión dura 30 días. Al vencer, el usuario debe volver a autenticarse</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RN-009 El inicio de sesión requiere verificación en 2 pasos: código de un solo uso enviado al email del usuario</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Precondición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usuario posee una cuenta registrada y activa en el sistema. La aplicación está disponible.</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Descripción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sistema deberá verificar la identidad del usuario a partir de las credenciales ingresadas. Internamente, busca la cuenta por email y valida la contraseña contra el hash almacenado. Tras validar las credenciales, el sistema envía un código de verificación de un solo uso al email del usuario. El acceso se completa únicamente cuando el usuario ingresa el código correcto, momento en el cual se crea la sesión autenticada.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Secuencia normal (Camino feliz)</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abre la aplicación.</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2</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muestra la pantalla de login.</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ingresa su email y contraseña.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procesa las credenciales internamente:</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Busca la cuenta asociada al email ingresado.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Verifica la contraseña ingresada contra la versión encriptada almacenada.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envía un código de verificación de un solo uso al email del usuario (RN-009).</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ingresa el código recibido.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7</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valida el código ingresado.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8</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crea una sesión autenticada con expiración de 30 días (RN-008).</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9</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accede a la pantalla principal.</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10</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registra la acción en el log de auditoría (CU24).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Postcondición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usuario completó la verificación en 2 pasos y cuenta con una sesión activa válida por 30 días. Puede operar en la aplicación hasta que la sesión expire o cierre sesión manualmente.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Excepciones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4.1A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email no corresponde a ninguna cuenta registrada: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muestra un mensaje de error genérico sin indicar cuál campo es incorrecto.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4.2A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la contraseña no coincide:</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muestra el mismo mensaje de error genérico.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ocurre un error al enviar el código al email:</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el error e invita a reintentar.</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Si persiste, el sistema sugiere verificar que el email de la cuenta sea correcto.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7A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código de verificación ingresado es incorrecto: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que el código no es válido.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usuario puede reintentar o solicitar el reenvío del código.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7B</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código de verificación expiró:</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que el código ya no es válido.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reenvía un nuevo código al email del usuario.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8A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ocurre un error al crear la sesión:</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el error e invita al usuario a reintentar.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Comentarios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Este CU representa el flujo completo de inicio de sesión, incluyendo tanto la interacción visible para el usuario como el procesamiento interno del sistema (búsqueda de cuenta, validación de contraseña y verificación en dos pasos). El mecanismo de bloqueo por intentos fallidos no se implementa en el MVP. En el MVP el 2FA funciona únicamente por email; otros métodos quedan fuera del alcance inicial.</w:t>
            </w:r>
          </w:p>
        </w:tc>
      </w:tr>
      <w:tr>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UI: </w:t>
            </w:r>
            <w:r>
              <w:rPr>
                <w:rFonts w:ascii="Arial" w:cs="Arial" w:eastAsia="Arial" w:hAnsi="Arial"/>
                <w:i/>
                <w:iCs/>
                <w:color w:val="888888"/>
                <w:sz w:val="20"/>
                <w:szCs w:val="20"/>
              </w:rPr>
              <w:t xml:space="preserve">&lt;&lt;enlace al diseño de la pantalla&gt;&gt;</w:t>
            </w:r>
          </w:p>
        </w:tc>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DER: </w:t>
            </w:r>
            <w:r>
              <w:rPr>
                <w:rFonts w:ascii="Arial" w:cs="Arial" w:eastAsia="Arial" w:hAnsi="Arial"/>
                <w:i/>
                <w:iCs/>
                <w:color w:val="888888"/>
                <w:sz w:val="20"/>
                <w:szCs w:val="20"/>
              </w:rPr>
              <w:t xml:space="preserve">&lt;&lt;enlace al diagrama entidad-relación&gt;&gt;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2026-06-19T14:01:34.986Z</dcterms:created>
  <dcterms:modified xsi:type="dcterms:W3CDTF">2026-06-19T14:01:35.008Z</dcterms:modified>
</cp:coreProperties>
</file>

<file path=docProps/custom.xml><?xml version="1.0" encoding="utf-8"?>
<Properties xmlns="http://schemas.openxmlformats.org/officeDocument/2006/custom-properties" xmlns:vt="http://schemas.openxmlformats.org/officeDocument/2006/docPropsVTypes"/>
</file>