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color w:val="222222"/>
                <w:sz w:val="20"/>
                <w:szCs w:val="20"/>
              </w:rPr>
              <w:t xml:space="preserve"/>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"Exportar historial clínico"</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CU12</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 Cuidador</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2.0 — Fusión con procesamiento interno (ex CU22)</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RN-016 La exportación del historial en PDF es gratuita para todos los usuarios</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RN-045 El PDF se genera al momento y se descarga directamente al dispositivo del usuario sin almacenarse en el servidor</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RN-046 El PDF incluye: nombre y foto de la mascota (si existe), datos del propietario, fecha de generación e historial clínico completo</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o cuidador se encuentra autenticado. La mascota tiene al menos un registro en el historial clínico. El usuario tiene permisos de acceso sobre la mascota.</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exportar el historial clínico completo de la mascota como documento PDF, sin restricciones por plan de suscripción. Internamente, recopila los datos del historial, genera el documento y lo descarga directamente al dispositivo sin conservar copia en el servidor.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al historial clínico de la mascota (CU9) y selecciona "Exportar".</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solicita confirmación para generar el PDF con el historial clínico completo.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confirma la generación.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la exportación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Recopila el historial clínico completo de la mascota.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Genera el documento PDF con: nombre y foto de la mascota (si existe), datos del propietario, fecha de generación e historial clínico completo (RN-046).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PDF se descarga directamente al dispositivo del usuario, sin almacenarse en el servidor (RN-045).</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PDF queda descargado en el dispositivo del usuario. El sistema no conserva ninguna copia del archivo generado. Si el usuario quiere compartirlo, lo hace desde su dispositivo como cualquier otro archivo.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mascota no tiene eventos registrados en el historial:</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no hay registros para exportar.</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generar el PDF:</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representa el flujo completo de exportación, incluyendo tanto la interacción visible para el usuario como el procesamiento interno del sistema (recopilación de datos y generación del PDF). La exportación es gratuita e ilimitada para todos los usuarios (RN-016). El PDF no se almacena en el servidor: se genera al momento y se descarga directamente (RN-045). Para mostrar el historial al veterinario sin exportar, el usuario puede usar la pantalla de historial directamente desde CU9.</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2026-06-19T15:29:48.577Z</dcterms:created>
  <dcterms:modified xsi:type="dcterms:W3CDTF">2026-06-19T15:29:48.577Z</dcterms:modified>
</cp:coreProperties>
</file>

<file path=docProps/custom.xml><?xml version="1.0" encoding="utf-8"?>
<Properties xmlns="http://schemas.openxmlformats.org/officeDocument/2006/custom-properties" xmlns:vt="http://schemas.openxmlformats.org/officeDocument/2006/docPropsVTypes"/>
</file>