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pPr>
            <w:r>
              <w:rPr>
                <w:rFonts w:ascii="Arial" w:cs="Arial" w:eastAsia="Arial" w:hAnsi="Arial"/>
                <w:b/>
                <w:bCs/>
                <w:color w:val="FFFFFF"/>
                <w:sz w:val="22"/>
                <w:szCs w:val="22"/>
              </w:rPr>
              <w:t xml:space="preserve">Proyecto: MisMascotas</w:t>
            </w:r>
          </w:p>
        </w:tc>
        <w:tc>
          <w:tcPr>
            <w:tcW w:type="dxa" w:w="416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jc w:val="right"/>
            </w:pPr>
            <w:r>
              <w:rPr>
                <w:rFonts w:ascii="Arial" w:cs="Arial" w:eastAsia="Arial" w:hAnsi="Arial"/>
                <w:b/>
                <w:bCs/>
                <w:color w:val="FFFFFF"/>
                <w:sz w:val="22"/>
                <w:szCs w:val="22"/>
              </w:rPr>
              <w:t xml:space="preserve">Fecha:  __/__/____</w:t>
            </w:r>
          </w:p>
        </w:tc>
      </w:tr>
      <w:tr>
        <w:tc>
          <w:tcPr>
            <w:tcW w:type="dxa" w:w="5200"/>
            <w:tcBorders>
              <w:top w:val="single" w:color="BBBBBB" w:sz="1"/>
              <w:left w:val="single" w:color="BBBBBB" w:sz="1"/>
              <w:bottom w:val="single" w:color="BBBBBB" w:sz="1"/>
              <w:right w:val="single" w:color="BBBBBB" w:sz="1"/>
            </w:tcBorders>
            <w:shd w:fill="4A9E8A" w:val="clear"/>
            <w:tcMar>
              <w:top w:type="dxa" w:w="80"/>
              <w:left w:type="dxa" w:w="180"/>
              <w:bottom w:type="dxa" w:w="80"/>
              <w:right w:type="dxa" w:w="180"/>
            </w:tcMar>
          </w:tcPr>
          <w:p>
            <w:pPr>
              <w:spacing w:after="0"/>
            </w:pPr>
            <w:r>
              <w:rPr>
                <w:rFonts w:ascii="Arial" w:cs="Arial" w:eastAsia="Arial" w:hAnsi="Arial"/>
                <w:b/>
                <w:bCs/>
                <w:color w:val="FFFFFF"/>
                <w:sz w:val="22"/>
                <w:szCs w:val="22"/>
              </w:rPr>
              <w:t xml:space="preserve">Caso de Uso: "Registrar entrada en log de auditoría"</w:t>
            </w:r>
          </w:p>
        </w:tc>
        <w:tc>
          <w:tcPr>
            <w:tcW w:type="dxa" w:w="4160"/>
            <w:tcBorders>
              <w:top w:val="single" w:color="BBBBBB" w:sz="1"/>
              <w:left w:val="single" w:color="BBBBBB" w:sz="1"/>
              <w:bottom w:val="single" w:color="BBBBBB" w:sz="1"/>
              <w:right w:val="single" w:color="BBBBBB" w:sz="1"/>
            </w:tcBorders>
            <w:shd w:fill="4A9E8A" w:val="clear"/>
            <w:tcMar>
              <w:top w:type="dxa" w:w="80"/>
              <w:left w:type="dxa" w:w="180"/>
              <w:bottom w:type="dxa" w:w="80"/>
              <w:right w:type="dxa" w:w="180"/>
            </w:tcMar>
          </w:tcPr>
          <w:p>
            <w:pPr>
              <w:spacing w:after="0"/>
              <w:jc w:val="right"/>
            </w:pPr>
            <w:r>
              <w:rPr>
                <w:rFonts w:ascii="Arial" w:cs="Arial" w:eastAsia="Arial" w:hAnsi="Arial"/>
                <w:b/>
                <w:bCs/>
                <w:color w:val="FFFFFF"/>
                <w:sz w:val="22"/>
                <w:szCs w:val="22"/>
              </w:rPr>
              <w:t xml:space="preserve">ID: CU24</w:t>
            </w:r>
          </w:p>
        </w:tc>
      </w:tr>
      <w:tr>
        <w:tc>
          <w:tcPr>
            <w:tcW w:type="dxa" w:w="52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tcPr>
          <w:p>
            <w:pPr>
              <w:spacing w:after="0"/>
            </w:pPr>
            <w:r>
              <w:rPr>
                <w:rFonts w:ascii="Arial" w:cs="Arial" w:eastAsia="Arial" w:hAnsi="Arial"/>
                <w:b/>
                <w:bCs/>
                <w:color w:val="1A5C4E"/>
                <w:sz w:val="20"/>
                <w:szCs w:val="20"/>
              </w:rPr>
              <w:t xml:space="preserve">Actor: </w:t>
            </w:r>
            <w:r>
              <w:rPr>
                <w:rFonts w:ascii="Arial" w:cs="Arial" w:eastAsia="Arial" w:hAnsi="Arial"/>
                <w:color w:val="222222"/>
                <w:sz w:val="20"/>
                <w:szCs w:val="20"/>
              </w:rPr>
              <w:t xml:space="preserve">Sistema</w:t>
            </w:r>
          </w:p>
        </w:tc>
        <w:tc>
          <w:tcPr>
            <w:tcW w:type="dxa" w:w="416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tcPr>
          <w:p>
            <w:pPr>
              <w:spacing w:after="0"/>
              <w:jc w:val="right"/>
            </w:pPr>
            <w:r>
              <w:rPr>
                <w:rFonts w:ascii="Arial" w:cs="Arial" w:eastAsia="Arial" w:hAnsi="Arial"/>
                <w:color w:val="222222"/>
                <w:sz w:val="20"/>
                <w:szCs w:val="20"/>
              </w:rPr>
              <w:t xml:space="preserve">Página 24 de 24</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Versión</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color w:val="222222"/>
                <w:sz w:val="20"/>
                <w:szCs w:val="20"/>
              </w:rPr>
              <w:t xml:space="preserve"/>
            </w:r>
          </w:p>
        </w:tc>
      </w:tr>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Dependencias</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color w:val="222222"/>
                <w:sz w:val="20"/>
                <w:szCs w:val="20"/>
              </w:rPr>
              <w:t xml:space="preserve">• </w:t>
            </w:r>
            <w:r>
              <w:rPr>
                <w:rFonts w:ascii="Arial" w:cs="Arial" w:eastAsia="Arial" w:hAnsi="Arial"/>
                <w:color w:val="222222"/>
                <w:sz w:val="20"/>
                <w:szCs w:val="20"/>
              </w:rPr>
              <w:t xml:space="preserve">RN-022 Las entradas del log son inmutables: ningún usuario puede modificarlas ni eliminarlas</w:t>
            </w:r>
          </w:p>
          <w:p>
            <w:pPr>
              <w:spacing w:after="0"/>
            </w:pPr>
            <w:r>
              <w:rPr>
                <w:rFonts w:ascii="Arial" w:cs="Arial" w:eastAsia="Arial" w:hAnsi="Arial"/>
                <w:color w:val="222222"/>
                <w:sz w:val="20"/>
                <w:szCs w:val="20"/>
              </w:rPr>
              <w:t xml:space="preserve">• </w:t>
            </w:r>
            <w:r>
              <w:rPr>
                <w:rFonts w:ascii="Arial" w:cs="Arial" w:eastAsia="Arial" w:hAnsi="Arial"/>
                <w:color w:val="222222"/>
                <w:sz w:val="20"/>
                <w:szCs w:val="20"/>
              </w:rPr>
              <w:t xml:space="preserve">RN-023 El log registra tanto acciones de usuarios como procesos automáticos del sistema</w:t>
            </w:r>
          </w:p>
          <w:p>
            <w:pPr>
              <w:spacing w:after="0"/>
            </w:pPr>
            <w:r>
              <w:rPr>
                <w:rFonts w:ascii="Arial" w:cs="Arial" w:eastAsia="Arial" w:hAnsi="Arial"/>
                <w:color w:val="222222"/>
                <w:sz w:val="20"/>
                <w:szCs w:val="20"/>
              </w:rPr>
              <w:t xml:space="preserve">• </w:t>
            </w:r>
            <w:r>
              <w:rPr>
                <w:rFonts w:ascii="Arial" w:cs="Arial" w:eastAsia="Arial" w:hAnsi="Arial"/>
                <w:color w:val="222222"/>
                <w:sz w:val="20"/>
                <w:szCs w:val="20"/>
              </w:rPr>
              <w:t xml:space="preserve">RN-024 Las entradas del log se eliminan únicamente como parte de la purga definitiva de una mascota (CU23)</w:t>
            </w:r>
          </w:p>
        </w:tc>
      </w:tr>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Precondición</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i/>
                <w:iCs/>
                <w:color w:val="555555"/>
                <w:sz w:val="20"/>
                <w:szCs w:val="20"/>
              </w:rPr>
              <w:t xml:space="preserve">El sistema completó exitosamente una acción de escritura: creación, modificación, eliminación de datos, o cambio de accesos.</w:t>
            </w:r>
          </w:p>
        </w:tc>
      </w:tr>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Descripción</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i/>
                <w:iCs/>
                <w:color w:val="555555"/>
                <w:sz w:val="20"/>
                <w:szCs w:val="20"/>
              </w:rPr>
              <w:t xml:space="preserve">El sistema deberá registrar de forma automática e inmutable una entrada en el log de auditoría cada vez que se complete exitosamente una acción relevante, identificando quién la realizó, sobre qué entidad, cuándo y qué tipo de cambio fue.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jc w:val="center"/>
            </w:pPr>
            <w:r>
              <w:rPr>
                <w:rFonts w:ascii="Arial" w:cs="Arial" w:eastAsia="Arial" w:hAnsi="Arial"/>
                <w:b/>
                <w:bCs/>
                <w:color w:val="FFFFFF"/>
                <w:sz w:val="20"/>
                <w:szCs w:val="20"/>
              </w:rPr>
              <w:t xml:space="preserve">Paso</w:t>
            </w:r>
          </w:p>
        </w:tc>
        <w:tc>
          <w:tcPr>
            <w:tcW w:type="dxa" w:w="836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pPr>
            <w:r>
              <w:rPr>
                <w:rFonts w:ascii="Arial" w:cs="Arial" w:eastAsia="Arial" w:hAnsi="Arial"/>
                <w:b/>
                <w:bCs/>
                <w:color w:val="FFFFFF"/>
                <w:sz w:val="20"/>
                <w:szCs w:val="20"/>
              </w:rPr>
              <w:t xml:space="preserve">Secuencia normal (Camino feliz)</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1</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sistema detecta que una acción de escritura fue completada exitosamente.</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2</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sistema identifica al actor: usuario, cuidador o proceso automático del sistema.</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3</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sistema captura los datos de la acción: tipo de acción (creación, modificación, eliminación, cambio de acceso), entidad afectada, identificador de la entidad y fecha y hora exacta.</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4</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sistema registra la entrada de forma inmutable en el log de auditoría (RN-022).</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5</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La entrada queda disponible para consulta del propietario de la mascota afectada.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Postcondición</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i/>
                <w:iCs/>
                <w:color w:val="555555"/>
                <w:sz w:val="20"/>
                <w:szCs w:val="20"/>
              </w:rPr>
              <w:t xml:space="preserve">Queda registrada una entrada inmutable en el log de auditoría con todos los datos de la acción realizada.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jc w:val="center"/>
            </w:pPr>
            <w:r>
              <w:rPr>
                <w:rFonts w:ascii="Arial" w:cs="Arial" w:eastAsia="Arial" w:hAnsi="Arial"/>
                <w:b/>
                <w:bCs/>
                <w:color w:val="FFFFFF"/>
                <w:sz w:val="20"/>
                <w:szCs w:val="20"/>
              </w:rPr>
              <w:t xml:space="preserve">Paso</w:t>
            </w:r>
          </w:p>
        </w:tc>
        <w:tc>
          <w:tcPr>
            <w:tcW w:type="dxa" w:w="836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pPr>
            <w:r>
              <w:rPr>
                <w:rFonts w:ascii="Arial" w:cs="Arial" w:eastAsia="Arial" w:hAnsi="Arial"/>
                <w:b/>
                <w:bCs/>
                <w:color w:val="FFFFFF"/>
                <w:sz w:val="20"/>
                <w:szCs w:val="20"/>
              </w:rPr>
              <w:t xml:space="preserve">Excepciones</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4</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Si ocurre un error al registrar la entrada del log:</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E.1</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La acción principal no se revierte: el dato ya fue guardado.</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E.2</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El sistema reintenta el registro del log en el siguiente ciclo.</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E.3</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Si el error persiste, queda registrado internamente para revisión del equipo técnico.</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1A</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Si la acción principal falló antes de completarse:</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E.1</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El sistema no genera entrada de auditoría. Solo se auditan acciones que llegaron a completarse exitosamente.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Comentarios</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color w:val="222222"/>
                <w:sz w:val="20"/>
                <w:szCs w:val="20"/>
              </w:rPr>
              <w:t xml:space="preserve">Este caso de uso es invocado por todos los demás CUs del sistema que impliquen una escritura. Los procesos automáticos (CU21, CU23) quedan identificados como actor 'Sistema' en el log. Las entradas solo se eliminan como parte de la purga definitiva de una mascota (RN-024).</w:t>
            </w:r>
          </w:p>
        </w:tc>
      </w:tr>
      <w:tr>
        <w:tc>
          <w:tcPr>
            <w:tcW w:type="dxa" w:w="4680"/>
            <w:tcBorders>
              <w:top w:val="single" w:color="BBBBBB" w:sz="1"/>
              <w:left w:val="single" w:color="BBBBBB" w:sz="1"/>
              <w:bottom w:val="single" w:color="BBBBBB" w:sz="1"/>
              <w:right w:val="single" w:color="BBBBBB" w:sz="1"/>
            </w:tcBorders>
            <w:shd w:fill="E8F5F1" w:val="clear"/>
            <w:tcMar>
              <w:top w:type="dxa" w:w="80"/>
              <w:left w:type="dxa" w:w="180"/>
              <w:bottom w:type="dxa" w:w="80"/>
              <w:right w:type="dxa" w:w="180"/>
            </w:tcMar>
          </w:tcPr>
          <w:p>
            <w:pPr>
              <w:spacing w:after="0"/>
            </w:pPr>
            <w:r>
              <w:rPr>
                <w:rFonts w:ascii="Arial" w:cs="Arial" w:eastAsia="Arial" w:hAnsi="Arial"/>
                <w:b/>
                <w:bCs/>
                <w:color w:val="1A5C4E"/>
                <w:sz w:val="20"/>
                <w:szCs w:val="20"/>
              </w:rPr>
              <w:t xml:space="preserve">UI: </w:t>
            </w:r>
            <w:r>
              <w:rPr>
                <w:rFonts w:ascii="Arial" w:cs="Arial" w:eastAsia="Arial" w:hAnsi="Arial"/>
                <w:i/>
                <w:iCs/>
                <w:color w:val="888888"/>
                <w:sz w:val="20"/>
                <w:szCs w:val="20"/>
              </w:rPr>
              <w:t xml:space="preserve">&lt;&lt;enlace al diseño de la pantalla&gt;&gt;</w:t>
            </w:r>
          </w:p>
        </w:tc>
        <w:tc>
          <w:tcPr>
            <w:tcW w:type="dxa" w:w="4680"/>
            <w:tcBorders>
              <w:top w:val="single" w:color="BBBBBB" w:sz="1"/>
              <w:left w:val="single" w:color="BBBBBB" w:sz="1"/>
              <w:bottom w:val="single" w:color="BBBBBB" w:sz="1"/>
              <w:right w:val="single" w:color="BBBBBB" w:sz="1"/>
            </w:tcBorders>
            <w:shd w:fill="E8F5F1" w:val="clear"/>
            <w:tcMar>
              <w:top w:type="dxa" w:w="80"/>
              <w:left w:type="dxa" w:w="180"/>
              <w:bottom w:type="dxa" w:w="80"/>
              <w:right w:type="dxa" w:w="180"/>
            </w:tcMar>
          </w:tcPr>
          <w:p>
            <w:pPr>
              <w:spacing w:after="0"/>
            </w:pPr>
            <w:r>
              <w:rPr>
                <w:rFonts w:ascii="Arial" w:cs="Arial" w:eastAsia="Arial" w:hAnsi="Arial"/>
                <w:b/>
                <w:bCs/>
                <w:color w:val="1A5C4E"/>
                <w:sz w:val="20"/>
                <w:szCs w:val="20"/>
              </w:rPr>
              <w:t xml:space="preserve">DER: </w:t>
            </w:r>
            <w:r>
              <w:rPr>
                <w:rFonts w:ascii="Arial" w:cs="Arial" w:eastAsia="Arial" w:hAnsi="Arial"/>
                <w:i/>
                <w:iCs/>
                <w:color w:val="888888"/>
                <w:sz w:val="20"/>
                <w:szCs w:val="20"/>
              </w:rPr>
              <w:t xml:space="preserve">&lt;&lt;enlace al diagrama entidad-relación&gt;&gt;</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2026-05-19T00:45:45.690Z</dcterms:created>
  <dcterms:modified xsi:type="dcterms:W3CDTF">2026-05-19T00:45:45.690Z</dcterms:modified>
</cp:coreProperties>
</file>

<file path=docProps/custom.xml><?xml version="1.0" encoding="utf-8"?>
<Properties xmlns="http://schemas.openxmlformats.org/officeDocument/2006/custom-properties" xmlns:vt="http://schemas.openxmlformats.org/officeDocument/2006/docPropsVTypes"/>
</file>