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Calibri" w:hAnsi="Calibri"/>
          <w:b/>
          <w:color w:val="163E6C"/>
          <w:sz w:val="48"/>
        </w:rPr>
        <w:t>EcoMarket ChatBot — avance de producto</w:t>
      </w:r>
    </w:p>
    <w:p>
      <w:pPr>
        <w:jc w:val="left"/>
      </w:pPr>
      <w:r>
        <w:rPr>
          <w:rFonts w:ascii="Calibri" w:hAnsi="Calibri"/>
          <w:b/>
          <w:color w:val="0F6CBD"/>
          <w:sz w:val="26"/>
        </w:rPr>
        <w:t>Comparativa v1.0.1 vs v2.2.0 | PoC → MVP comercial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EAF3FF"/>
          </w:tcPr>
          <w:p>
            <w:r>
              <w:rPr>
                <w:rFonts w:ascii="Calibri" w:hAnsi="Calibri"/>
                <w:b/>
                <w:color w:val="1B2430"/>
                <w:sz w:val="21"/>
              </w:rPr>
              <w:t>Versión PoC</w:t>
            </w:r>
          </w:p>
        </w:tc>
        <w:tc>
          <w:tcPr>
            <w:tcW w:type="dxa" w:w="2664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1.0.1</w:t>
            </w:r>
          </w:p>
        </w:tc>
        <w:tc>
          <w:tcPr>
            <w:tcW w:type="dxa" w:w="2016"/>
            <w:shd w:fill="EAF3FF"/>
          </w:tcPr>
          <w:p>
            <w:r>
              <w:rPr>
                <w:rFonts w:ascii="Calibri" w:hAnsi="Calibri"/>
                <w:b/>
                <w:color w:val="1B2430"/>
                <w:sz w:val="21"/>
              </w:rPr>
              <w:t>Versión actual</w:t>
            </w:r>
          </w:p>
        </w:tc>
        <w:tc>
          <w:tcPr>
            <w:tcW w:type="dxa" w:w="2664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2.2.0</w:t>
            </w:r>
          </w:p>
        </w:tc>
      </w:tr>
      <w:tr>
        <w:tc>
          <w:tcPr>
            <w:tcW w:type="dxa" w:w="2016"/>
            <w:shd w:fill="EAF3FF"/>
          </w:tcPr>
          <w:p>
            <w:r>
              <w:rPr>
                <w:rFonts w:ascii="Calibri" w:hAnsi="Calibri"/>
                <w:b/>
                <w:color w:val="1B2430"/>
                <w:sz w:val="21"/>
              </w:rPr>
              <w:t>Motor de datos</w:t>
            </w:r>
          </w:p>
        </w:tc>
        <w:tc>
          <w:tcPr>
            <w:tcW w:type="dxa" w:w="2664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PostgreSQL 18 / Neon</w:t>
            </w:r>
          </w:p>
        </w:tc>
        <w:tc>
          <w:tcPr>
            <w:tcW w:type="dxa" w:w="2016"/>
            <w:shd w:fill="EAF3FF"/>
          </w:tcPr>
          <w:p>
            <w:r>
              <w:rPr>
                <w:rFonts w:ascii="Calibri" w:hAnsi="Calibri"/>
                <w:b/>
                <w:color w:val="1B2430"/>
                <w:sz w:val="21"/>
              </w:rPr>
              <w:t>Arquitectura</w:t>
            </w:r>
          </w:p>
        </w:tc>
        <w:tc>
          <w:tcPr>
            <w:tcW w:type="dxa" w:w="2664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RetailService + NLP cascada + RAG</w:t>
            </w:r>
          </w:p>
        </w:tc>
      </w:tr>
    </w:tbl>
    <w:p>
      <w:r>
        <w:t>Mensaje marco: no estamos enseñando un bot que responde mejor; estamos enseñando el paso a un canal conversacional que ya puede operar compras, aplicar reglas comerciales y dejar trazabilidad.</w:t>
      </w:r>
    </w:p>
    <w:p>
      <w:pPr>
        <w:pStyle w:val="Heading1"/>
      </w:pPr>
      <w:r>
        <w:t>1. Qué teníamos y qué tenemos ahora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448"/>
            <w:shd w:fill="DCE6F1"/>
          </w:tcPr>
          <w:p>
            <w:r>
              <w:rPr>
                <w:rFonts w:ascii="Calibri" w:hAnsi="Calibri"/>
                <w:b/>
                <w:color w:val="163E6C"/>
                <w:sz w:val="21"/>
              </w:rPr>
              <w:t>Dimensión</w:t>
            </w:r>
          </w:p>
        </w:tc>
        <w:tc>
          <w:tcPr>
            <w:tcW w:type="dxa" w:w="3312"/>
            <w:shd w:fill="DCE6F1"/>
          </w:tcPr>
          <w:p>
            <w:r>
              <w:rPr>
                <w:rFonts w:ascii="Calibri" w:hAnsi="Calibri"/>
                <w:b/>
                <w:color w:val="163E6C"/>
                <w:sz w:val="21"/>
              </w:rPr>
              <w:t>v1.0.1 — PoC</w:t>
            </w:r>
          </w:p>
        </w:tc>
        <w:tc>
          <w:tcPr>
            <w:tcW w:type="dxa" w:w="3600"/>
            <w:shd w:fill="DCE6F1"/>
          </w:tcPr>
          <w:p>
            <w:r>
              <w:rPr>
                <w:rFonts w:ascii="Calibri" w:hAnsi="Calibri"/>
                <w:b/>
                <w:color w:val="163E6C"/>
                <w:sz w:val="21"/>
              </w:rPr>
              <w:t>v2.2.0 — MVP comercial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Fuente de datos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6 productos y 3 pedidos en memoria Python.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PostgreSQL 18 en Neon con validación de esquema al arrancar.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Arquitectura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Notebook monolítico sin capa de acceso dedicada.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RetailService como única puerta a SQL, con queries parametrizadas.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Capacidad comercial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La intención de compra existía, pero no cerraba ventas.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Carrito multiartículo, checkout, cliente y método de pago.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NLP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mDeBERTa zero-shot + reglas básicas con un único umbral.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Reglas fuertes + mDeBERTa + Groq fallback + extracción estructurada.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Conocimiento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Respuestas estáticas para políticas y pagos.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RAG documental para pagos, promociones, devoluciones y FAQ.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Negocio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Sin promociones reales ni sustitución comercial.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Descuentos automáticos, envío gratis y alternativas de producto.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Trazabilidad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Logging a CSV local.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Logging persistente en tabla logs_chatbot.</w:t>
            </w:r>
          </w:p>
        </w:tc>
      </w:tr>
    </w:tbl>
    <w:p>
      <w:pPr>
        <w:pStyle w:val="Heading1"/>
      </w:pPr>
      <w:r>
        <w:t>2. Los 3 cambios más impactantes para mostrar en vivo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240"/>
            <w:shd w:fill="EAF8F2"/>
          </w:tcPr>
          <w:p>
            <w:r>
              <w:rPr>
                <w:rFonts w:ascii="Calibri" w:hAnsi="Calibri"/>
                <w:b/>
                <w:color w:val="12805C"/>
                <w:sz w:val="21"/>
              </w:rPr>
              <w:t>Cambio</w:t>
            </w:r>
          </w:p>
        </w:tc>
        <w:tc>
          <w:tcPr>
            <w:tcW w:type="dxa" w:w="6120"/>
            <w:shd w:fill="EAF8F2"/>
          </w:tcPr>
          <w:p>
            <w:r>
              <w:rPr>
                <w:rFonts w:ascii="Calibri" w:hAnsi="Calibri"/>
                <w:b/>
                <w:color w:val="12805C"/>
                <w:sz w:val="21"/>
              </w:rPr>
              <w:t>Por qué importa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B2430"/>
                <w:sz w:val="21"/>
              </w:rPr>
              <w:t>De intención a transacción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El salto clave es que el bot ya puede convertir una conversación en un pedido único multiartículo con cliente, pago y persistencia.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B2430"/>
                <w:sz w:val="21"/>
              </w:rPr>
              <w:t>De respuestas rígidas a razonamiento operativo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La cascada NLP decide cuándo bastan reglas y mDeBERTa, y cuándo conviene usar Groq como apoyo sin dejarle el control del negocio.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B2430"/>
                <w:sz w:val="21"/>
              </w:rPr>
              <w:t>De soporte pasivo a defensa de la venta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Si falta stock o no existe el producto exacto, el bot hace contrapropuesta o recomienda alternativas para no perder la compra.</w:t>
            </w:r>
          </w:p>
        </w:tc>
      </w:tr>
    </w:tbl>
    <w:p>
      <w:pPr>
        <w:pStyle w:val="Heading1"/>
      </w:pPr>
      <w:r>
        <w:t>3. Guion de demo recomendado</w:t>
      </w:r>
    </w:p>
    <w:p>
      <w:r>
        <w:t>Ordenadas de menor a mayor impacto para que la exposición gane tracción progresivamente.</w:t>
      </w:r>
    </w:p>
    <w:p>
      <w:pPr>
        <w:pStyle w:val="Heading2"/>
      </w:pPr>
      <w:r>
        <w:t>1. Consulta operativa simple</w:t>
      </w:r>
    </w:p>
    <w:p>
      <w:r>
        <w:rPr>
          <w:rFonts w:ascii="Calibri" w:hAnsi="Calibri"/>
          <w:b/>
          <w:color w:val="0F6CBD"/>
          <w:sz w:val="21"/>
        </w:rPr>
        <w:t>Texto exacto a escribir</w:t>
      </w:r>
    </w:p>
    <w:p>
      <w:pPr>
        <w:spacing w:after="80"/>
        <w:ind w:left="360"/>
      </w:pPr>
      <w:r>
        <w:rPr>
          <w:rFonts w:ascii="Consolas" w:hAnsi="Consolas"/>
          <w:b w:val="0"/>
          <w:color w:val="0F172A"/>
          <w:sz w:val="19"/>
        </w:rPr>
        <w:t>qué productos de la categoría lácteos tienes disponible</w:t>
        <w:br/>
      </w:r>
    </w:p>
    <w:p>
      <w:r>
        <w:t>Capacidad que demuestra: Búsqueda por categoría contra datos vivos.</w:t>
      </w:r>
    </w:p>
    <w:p>
      <w:r>
        <w:t>Mensaje para Iván (CTO): Esto viene de PostgreSQL, no de texto fijo ni de improvisación del modelo.</w:t>
      </w:r>
    </w:p>
    <w:p>
      <w:r>
        <w:t>Mensaje para Paula (Experiencia de cliente): El usuario puede explorar catálogo sin conocer el nombre exacto del producto.</w:t>
      </w:r>
    </w:p>
    <w:p>
      <w:pPr>
        <w:pStyle w:val="Heading2"/>
      </w:pPr>
      <w:r>
        <w:t>2. Compra multiartículo</w:t>
      </w:r>
    </w:p>
    <w:p>
      <w:r>
        <w:rPr>
          <w:rFonts w:ascii="Calibri" w:hAnsi="Calibri"/>
          <w:b/>
          <w:color w:val="0F6CBD"/>
          <w:sz w:val="21"/>
        </w:rPr>
        <w:t>Texto exacto a escribir</w:t>
      </w:r>
    </w:p>
    <w:p>
      <w:pPr>
        <w:spacing w:after="80"/>
        <w:ind w:left="360"/>
      </w:pPr>
      <w:r>
        <w:rPr>
          <w:rFonts w:ascii="Consolas" w:hAnsi="Consolas"/>
          <w:b w:val="0"/>
          <w:color w:val="0F172A"/>
          <w:sz w:val="19"/>
        </w:rPr>
        <w:t>hola, deseo comprar 4 manzanas, 3 leche entera y 2 huevos</w:t>
        <w:br/>
      </w:r>
    </w:p>
    <w:p>
      <w:r>
        <w:t>Capacidad que demuestra: Extracción de varios ítems y consolidación en un único carrito.</w:t>
      </w:r>
    </w:p>
    <w:p>
      <w:r>
        <w:t>Mensaje para Iván (CTO): Ya hay estado conversacional y extracción estructurada, no solo intención.</w:t>
      </w:r>
    </w:p>
    <w:p>
      <w:r>
        <w:t>Mensaje para Paula (Experiencia de cliente): La compra se siente fluida y natural.</w:t>
      </w:r>
    </w:p>
    <w:p>
      <w:pPr>
        <w:pStyle w:val="Heading2"/>
      </w:pPr>
      <w:r>
        <w:t>3. Promociones automáticas</w:t>
      </w:r>
    </w:p>
    <w:p>
      <w:r>
        <w:rPr>
          <w:rFonts w:ascii="Calibri" w:hAnsi="Calibri"/>
          <w:b/>
          <w:color w:val="0F6CBD"/>
          <w:sz w:val="21"/>
        </w:rPr>
        <w:t>Texto exacto a escribir</w:t>
      </w:r>
    </w:p>
    <w:p>
      <w:pPr>
        <w:spacing w:after="80"/>
        <w:ind w:left="360"/>
      </w:pPr>
      <w:r>
        <w:rPr>
          <w:rFonts w:ascii="Consolas" w:hAnsi="Consolas"/>
          <w:b w:val="0"/>
          <w:color w:val="0F172A"/>
          <w:sz w:val="19"/>
        </w:rPr>
        <w:t>ver carrito</w:t>
        <w:br/>
      </w:r>
    </w:p>
    <w:p>
      <w:r>
        <w:t>Capacidad que demuestra: Aplicación automática de volumen, envío gratis y descuento por carrito.</w:t>
      </w:r>
    </w:p>
    <w:p>
      <w:r>
        <w:t>Mensaje para Iván (CTO): La lógica comercial está separada del LLM.</w:t>
      </w:r>
    </w:p>
    <w:p>
      <w:r>
        <w:t>Mensaje para Paula (Experiencia de cliente): El bot incentiva la compra en lugar de limitarse a responder.</w:t>
      </w:r>
    </w:p>
    <w:p>
      <w:pPr>
        <w:pStyle w:val="Heading2"/>
      </w:pPr>
      <w:r>
        <w:t>4. Sustitución comercial</w:t>
      </w:r>
    </w:p>
    <w:p>
      <w:r>
        <w:rPr>
          <w:rFonts w:ascii="Calibri" w:hAnsi="Calibri"/>
          <w:b/>
          <w:color w:val="0F6CBD"/>
          <w:sz w:val="21"/>
        </w:rPr>
        <w:t>Texto exacto a escribir</w:t>
      </w:r>
    </w:p>
    <w:p>
      <w:pPr>
        <w:spacing w:after="80"/>
        <w:ind w:left="360"/>
      </w:pPr>
      <w:r>
        <w:rPr>
          <w:rFonts w:ascii="Consolas" w:hAnsi="Consolas"/>
          <w:b w:val="0"/>
          <w:color w:val="0F172A"/>
          <w:sz w:val="19"/>
        </w:rPr>
        <w:t>quiero yogur</w:t>
        <w:br/>
      </w:r>
    </w:p>
    <w:p>
      <w:r>
        <w:t>Capacidad que demuestra: Alternativas cuando un producto está agotado o no se puede servir.</w:t>
      </w:r>
    </w:p>
    <w:p>
      <w:r>
        <w:t>Mensaje para Iván (CTO): Se combinan stock, catálogo y reglas de sustitución.</w:t>
      </w:r>
    </w:p>
    <w:p>
      <w:r>
        <w:t>Mensaje para Paula (Experiencia de cliente): Se protege la intención de compra y se evita perder la venta.</w:t>
      </w:r>
    </w:p>
    <w:p>
      <w:pPr>
        <w:pStyle w:val="Heading2"/>
      </w:pPr>
      <w:r>
        <w:t>5. Cierre completo de pedido</w:t>
      </w:r>
    </w:p>
    <w:p>
      <w:r>
        <w:rPr>
          <w:rFonts w:ascii="Calibri" w:hAnsi="Calibri"/>
          <w:b/>
          <w:color w:val="0F6CBD"/>
          <w:sz w:val="21"/>
        </w:rPr>
        <w:t>Texto exacto a escribir</w:t>
      </w:r>
    </w:p>
    <w:p>
      <w:pPr>
        <w:spacing w:after="80"/>
        <w:ind w:left="360"/>
      </w:pPr>
      <w:r>
        <w:rPr>
          <w:rFonts w:ascii="Consolas" w:hAnsi="Consolas"/>
          <w:b w:val="0"/>
          <w:color w:val="0F172A"/>
          <w:sz w:val="19"/>
        </w:rPr>
        <w:t>finalizar compra</w:t>
        <w:br/>
      </w:r>
      <w:r>
        <w:rPr>
          <w:rFonts w:ascii="Consolas" w:hAnsi="Consolas"/>
          <w:b w:val="0"/>
          <w:color w:val="0F172A"/>
          <w:sz w:val="19"/>
        </w:rPr>
        <w:t>Esteban Orozco, esteban@ecomarket.test, 600123456</w:t>
        <w:br/>
      </w:r>
      <w:r>
        <w:rPr>
          <w:rFonts w:ascii="Consolas" w:hAnsi="Consolas"/>
          <w:b w:val="0"/>
          <w:color w:val="0F172A"/>
          <w:sz w:val="19"/>
        </w:rPr>
        <w:t>contra entrega</w:t>
        <w:br/>
      </w:r>
      <w:r>
        <w:rPr>
          <w:rFonts w:ascii="Consolas" w:hAnsi="Consolas"/>
          <w:b w:val="0"/>
          <w:color w:val="0F172A"/>
          <w:sz w:val="19"/>
        </w:rPr>
        <w:t>sí</w:t>
        <w:br/>
      </w:r>
    </w:p>
    <w:p>
      <w:r>
        <w:t>Capacidad que demuestra: Checkout de extremo a extremo con datos de cliente, método de pago y pedido persistido.</w:t>
      </w:r>
    </w:p>
    <w:p>
      <w:r>
        <w:t>Mensaje para Iván (CTO): El MVP ya se comporta como una capa conversacional sobre backend real.</w:t>
      </w:r>
    </w:p>
    <w:p>
      <w:r>
        <w:t>Mensaje para Paula (Experiencia de cliente): La compra ya puede empezar y terminar dentro del chat.</w:t>
      </w:r>
    </w:p>
    <w:p>
      <w:pPr>
        <w:pStyle w:val="Heading1"/>
      </w:pPr>
      <w:r>
        <w:t>4. Mensaje clave por stakeholder</w:t>
      </w:r>
    </w:p>
    <w:p>
      <w:r>
        <w:t>Asumimos el foco más probable de cada perfil dentro del dossier para convertir la exposición en una conversación orientada a decisión.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64"/>
            <w:shd w:fill="FCE4D6"/>
          </w:tcPr>
          <w:p>
            <w:r>
              <w:rPr>
                <w:rFonts w:ascii="Calibri" w:hAnsi="Calibri"/>
                <w:b/>
                <w:color w:val="A64B00"/>
                <w:sz w:val="21"/>
              </w:rPr>
              <w:t>Stakeholder</w:t>
            </w:r>
          </w:p>
        </w:tc>
        <w:tc>
          <w:tcPr>
            <w:tcW w:type="dxa" w:w="6696"/>
            <w:shd w:fill="FCE4D6"/>
          </w:tcPr>
          <w:p>
            <w:r>
              <w:rPr>
                <w:rFonts w:ascii="Calibri" w:hAnsi="Calibri"/>
                <w:b/>
                <w:color w:val="A64B00"/>
                <w:sz w:val="21"/>
              </w:rPr>
              <w:t>Mensaje clave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B2430"/>
                <w:sz w:val="21"/>
              </w:rPr>
              <w:t>Paula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Ya no mostramos un bot que responde, sino un canal de compra conversacional con menos fricción y mayor capacidad de acompañar hasta el cierre.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B2430"/>
                <w:sz w:val="21"/>
              </w:rPr>
              <w:t>Hugo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El flujo respeta stock, genera un pedido único y deja trazabilidad suficiente para que operaciones no tenga que rehacer trabajo manual.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B2430"/>
                <w:sz w:val="21"/>
              </w:rPr>
              <w:t>Nuria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Las preguntas repetitivas de soporte quedan mejor resueltas y las incidencias ya pueden llegar con más contexto útil.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B2430"/>
                <w:sz w:val="21"/>
              </w:rPr>
              <w:t>Sergio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El bot ya ayuda a vender: carrito, promociones automáticas y alternativas cuando un producto falla.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B2430"/>
                <w:sz w:val="21"/>
              </w:rPr>
              <w:t>Ana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Ahora sí existen datos persistentes para medir fricción, abandono de checkout y oportunidades reales de mejora del flujo.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color w:val="1B2430"/>
                <w:sz w:val="21"/>
              </w:rPr>
              <w:t>Iván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color w:val="1B2430"/>
                <w:sz w:val="21"/>
              </w:rPr>
              <w:t>El salto técnico es real: SQL, logging, RAG acotado, y LLM donde aporta valor sin gobernar reglas de negocio.</w:t>
            </w:r>
          </w:p>
        </w:tc>
      </w:tr>
    </w:tbl>
    <w:p>
      <w:pPr>
        <w:pStyle w:val="Heading1"/>
      </w:pPr>
      <w:r>
        <w:t>5. Cierre recomendado de la exposición</w:t>
      </w:r>
    </w:p>
    <w:p>
      <w:pPr>
        <w:pStyle w:val="ListBullet"/>
      </w:pPr>
      <w:r>
        <w:t>En v1.0.1 demostramos comprensión básica; en v2.2.0 demostramos operación comercial controlada.</w:t>
      </w:r>
    </w:p>
    <w:p>
      <w:pPr>
        <w:pStyle w:val="ListBullet"/>
      </w:pPr>
      <w:r>
        <w:t>La IA ya no está aislada del negocio: interactúa con stock, pedido, promociones, cliente y políticas.</w:t>
      </w:r>
    </w:p>
    <w:p>
      <w:pPr>
        <w:pStyle w:val="ListBullet"/>
      </w:pPr>
      <w:r>
        <w:t>El siguiente valor ya no vendrá de 'más inteligencia general', sino de afinar métricas, catálogo, promociones y trazabilidad.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63E6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