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line="276"/>
        <w:jc w:val="center"/>
      </w:pPr>
      <w:r>
        <w:rPr>
          <w:b/>
          <w:bCs/>
          <w:color w:val="1F4E79"/>
          <w:sz w:val="24"/>
          <w:szCs w:val="24"/>
        </w:rPr>
        <w:t xml:space="preserve">UNIVERSIDAD ANTONIO JOSÉ CAMACHO</w:t>
      </w:r>
    </w:p>
    <w:p>
      <w:pPr>
        <w:spacing w:after="240" w:line="276"/>
        <w:jc w:val="center"/>
      </w:pPr>
      <w:r>
        <w:rPr>
          <w:sz w:val="20"/>
          <w:szCs w:val="20"/>
        </w:rPr>
        <w:t xml:space="preserve">Facultad de Ingeniería  ·  Programa de Ingeniería de Sistemas</w:t>
      </w:r>
    </w:p>
    <w:p>
      <w:pPr>
        <w:pBdr>
          <w:bottom w:val="single" w:color="1F4E79" w:sz="6" w:space="6"/>
        </w:pBdr>
        <w:spacing w:after="100"/>
        <w:jc w:val="center"/>
      </w:pPr>
      <w:r>
        <w:rPr>
          <w:b/>
          <w:bCs/>
          <w:color w:val="1F4E79"/>
          <w:sz w:val="30"/>
          <w:szCs w:val="30"/>
        </w:rPr>
        <w:t xml:space="preserve">ESTRUCTURA DEL PROYECTO DE MICROSERVICIOS · EPS</w:t>
      </w:r>
    </w:p>
    <w:p>
      <w:pPr>
        <w:spacing w:after="40" w:line="276"/>
        <w:jc w:val="center"/>
      </w:pPr>
      <w:r>
        <w:rPr>
          <w:sz w:val="20"/>
          <w:szCs w:val="20"/>
        </w:rPr>
        <w:t xml:space="preserve">Ingeniería de Software III (FI303290)  ·  Período 2026-2</w:t>
      </w:r>
    </w:p>
    <w:p>
      <w:pPr>
        <w:spacing w:after="40" w:line="276"/>
        <w:jc w:val="center"/>
      </w:pPr>
      <w:r>
        <w:rPr>
          <w:sz w:val="20"/>
          <w:szCs w:val="20"/>
        </w:rPr>
        <w:t xml:space="preserve">Esteban Antonio Estrada Angulo  ·  GitHub: EstebanGame08</w:t>
      </w:r>
    </w:p>
    <w:p>
      <w:pPr>
        <w:spacing w:after="360" w:line="276"/>
        <w:jc w:val="center"/>
      </w:pPr>
      <w:r>
        <w:rPr>
          <w:sz w:val="20"/>
          <w:szCs w:val="20"/>
        </w:rPr>
        <w:t xml:space="preserve">Repositorio: github.com/EstebanGame08/evaluacionGit</w:t>
      </w:r>
    </w:p>
    <w:p>
      <w:pPr>
        <w:pStyle w:val="Heading1"/>
        <w:spacing w:after="160" w:before="300"/>
      </w:pPr>
      <w:r>
        <w:rPr>
          <w:b/>
          <w:bCs/>
          <w:color w:val="1F4E79"/>
          <w:sz w:val="28"/>
          <w:szCs w:val="28"/>
        </w:rPr>
        <w:t xml:space="preserve">1. Propósito de este documento</w:t>
      </w:r>
    </w:p>
    <w:p>
      <w:pPr>
        <w:spacing w:after="120" w:line="276"/>
      </w:pPr>
      <w:r>
        <w:rPr>
          <w:sz w:val="22"/>
          <w:szCs w:val="22"/>
        </w:rPr>
        <w:t xml:space="preserve">Este documento describe cómo está organizado el esqueleto de carpetas del repositorio evaluacionGit, que representa el sistema de información de una EPS bajo una arquitectura de microservicios.</w:t>
      </w:r>
    </w:p>
    <w:p>
      <w:pPr>
        <w:spacing w:after="120" w:line="276"/>
      </w:pPr>
      <w:r>
        <w:rPr>
          <w:sz w:val="22"/>
          <w:szCs w:val="22"/>
        </w:rPr>
        <w:t xml:space="preserve">El alcance de esta entrega es únicamente estructural: se definen las carpetas, su nomenclatura y la responsabilidad que tendrá cada servicio cuando se implemente. No se incluye código fuente, porque el objetivo del taller es evidenciar el manejo de ramas en Git y no el desarrollo de los servicios.</w:t>
      </w:r>
    </w:p>
    <w:p>
      <w:pPr>
        <w:spacing w:after="120" w:line="276"/>
      </w:pPr>
      <w:r>
        <w:rPr>
          <w:sz w:val="22"/>
          <w:szCs w:val="22"/>
        </w:rPr>
        <w:t xml:space="preserve">La explicación detallada de la arquitectura, junto con su diagrama, se encuentra en el documento Docs/Arquitectura_EPS.docx, disponible únicamente en la rama desarrollo.</w:t>
      </w:r>
    </w:p>
    <w:p>
      <w:pPr>
        <w:pStyle w:val="Heading1"/>
        <w:spacing w:after="160" w:before="300"/>
      </w:pPr>
      <w:r>
        <w:rPr>
          <w:b/>
          <w:bCs/>
          <w:color w:val="1F4E79"/>
          <w:sz w:val="28"/>
          <w:szCs w:val="28"/>
        </w:rPr>
        <w:t xml:space="preserve">2. Criterio de división de los servicios</w:t>
      </w:r>
    </w:p>
    <w:p>
      <w:pPr>
        <w:spacing w:after="120" w:line="276"/>
      </w:pPr>
      <w:r>
        <w:rPr>
          <w:sz w:val="22"/>
          <w:szCs w:val="22"/>
        </w:rPr>
        <w:t xml:space="preserve">Los servicios no se dividieron por capas técnicas sino por capacidad de negocio: cada carpeta corresponde a un proceso que la EPS puede operar y cambiar de forma independiente.</w:t>
      </w:r>
    </w:p>
    <w:p>
      <w:pPr>
        <w:spacing w:after="120" w:line="276"/>
      </w:pPr>
      <w:r>
        <w:rPr>
          <w:sz w:val="22"/>
          <w:szCs w:val="22"/>
        </w:rPr>
        <w:t xml:space="preserve">El criterio práctico fue preguntarse qué área de la EPS pediría un cambio. Si afiliaciones y autorizaciones responden a normativas distintas y se modifican en momentos distintos, entonces son dos servicios, no uno. Esa separación es la que después permite desplegar un servicio sin tumbar los demás.</w:t>
      </w:r>
    </w:p>
    <w:p>
      <w:pPr>
        <w:pStyle w:val="Heading1"/>
        <w:spacing w:after="160" w:before="300"/>
      </w:pPr>
      <w:r>
        <w:rPr>
          <w:b/>
          <w:bCs/>
          <w:color w:val="1F4E79"/>
          <w:sz w:val="28"/>
          <w:szCs w:val="28"/>
        </w:rPr>
        <w:t xml:space="preserve">3. Convenciones de nomenclatura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Los microservicios usan el prefijo ms- seguido del nombre del dominio en plural (ms-afiliaciones, ms-citas).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Los nombres van en minúscula y separados por guion, sin tildes ni espacios, para evitar problemas al clonar el repositorio en Linux o macOS.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El api-gateway no lleva el prefijo ms- porque no es un servicio de dominio: es el punto de entrada al sistema.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sz w:val="22"/>
          <w:szCs w:val="22"/>
        </w:rPr>
        <w:t xml:space="preserve">Cada servicio repite la misma estructura interna (src, config, tests), de modo que quien entra por primera vez al repositorio sepa dónde buscar sin preguntar.</w:t>
      </w:r>
    </w:p>
    <w:p>
      <w:pPr>
        <w:pStyle w:val="Heading1"/>
        <w:spacing w:after="160" w:before="300"/>
      </w:pPr>
      <w:r>
        <w:rPr>
          <w:b/>
          <w:bCs/>
          <w:color w:val="1F4E79"/>
          <w:sz w:val="28"/>
          <w:szCs w:val="28"/>
        </w:rPr>
        <w:t xml:space="preserve">4. Árbol del repositorio</w:t>
      </w:r>
    </w:p>
    <w:p>
      <w:pPr>
        <w:spacing w:after="160" w:line="276"/>
      </w:pPr>
      <w:r>
        <w:rPr>
          <w:sz w:val="22"/>
          <w:szCs w:val="22"/>
        </w:rPr>
        <w:t xml:space="preserve">La siguiente es la estructura tal como queda en la rama main: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evaluacionGit/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|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+-- README.md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+-- EstructuraMicroservicios_EPS.docx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|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+-- eps-microservicios/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|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+-- api-gateway/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|   +-- src/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|   +-- config/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|   +-- tests/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|   +-- servicio.txt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|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+-- ms-afiliaciones/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|   +-- src/  config/  tests/  servicio.txt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|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+-- ms-autorizaciones/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|   +-- src/  config/  tests/  servicio.txt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|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+-- ms-citas/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|   +-- src/  config/  tests/  servicio.txt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|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+-- ms-prestadores/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|   +-- src/  config/  tests/  servicio.txt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|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+-- ms-cuentas-medicas/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|   +-- src/  config/  tests/  servicio.txt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|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+-- ms-notificaciones/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+-- src/  config/  tests/  servicio.txt</w:t>
      </w:r>
    </w:p>
    <w:p>
      <w:pPr>
        <w:spacing w:after="200" w:line="276"/>
      </w:pPr>
      <w:r>
        <w:rPr>
          <w:sz w:val="22"/>
          <w:szCs w:val="22"/>
        </w:rPr>
        <w:t xml:space="preserve"/>
      </w:r>
    </w:p>
    <w:p>
      <w:pPr>
        <w:pStyle w:val="Heading1"/>
        <w:spacing w:after="160" w:before="300"/>
      </w:pPr>
      <w:r>
        <w:rPr>
          <w:b/>
          <w:bCs/>
          <w:color w:val="1F4E79"/>
          <w:sz w:val="28"/>
          <w:szCs w:val="28"/>
        </w:rPr>
        <w:t xml:space="preserve">5. Responsabilidad de cada microservicio</w:t>
      </w:r>
    </w:p>
    <w:p>
      <w:pPr>
        <w:spacing w:after="160" w:line="276"/>
      </w:pPr>
      <w:r>
        <w:rPr>
          <w:sz w:val="22"/>
          <w:szCs w:val="22"/>
        </w:rPr>
        <w:t xml:space="preserve">Cada carpeta agrupa un proceso de negocio de la EPS. Cada una tendría su propia base de datos y su propio ciclo de despliegue: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100"/>
      </w:tblGrid>
      <w:tr>
        <w:trPr>
          <w:tblHeader/>
        </w:trPr>
        <w:tc>
          <w:tcPr>
            <w:tcW w:type="dxa" w:w="26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Carpeta</w:t>
            </w:r>
          </w:p>
        </w:tc>
        <w:tc>
          <w:tcPr>
            <w:tcW w:type="dxa" w:w="61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Responsabilidad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api-gateway</w:t>
            </w:r>
          </w:p>
        </w:tc>
        <w:tc>
          <w:tcPr>
            <w:tcW w:type="dxa" w:w="6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Único punto de entrada. Recibe las peticiones de los canales externos (portal web y app del afiliado) y las enruta al microservicio que corresponda.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ms-afiliaciones</w:t>
            </w:r>
          </w:p>
        </w:tc>
        <w:tc>
          <w:tcPr>
            <w:tcW w:type="dxa" w:w="61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Registro del cotizante y sus beneficiarios, estado de afiliación y reporte de novedades al SGSSS. Es el servicio que responde si un usuario está activo.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ms-autorizaciones</w:t>
            </w:r>
          </w:p>
        </w:tc>
        <w:tc>
          <w:tcPr>
            <w:tcW w:type="dxa" w:w="6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Autorización de servicios y procedimientos PBS y no PBS. Valida contra el estado de afiliación antes de emitir el número de autorización.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ms-citas</w:t>
            </w:r>
          </w:p>
        </w:tc>
        <w:tc>
          <w:tcPr>
            <w:tcW w:type="dxa" w:w="61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Agendamiento de citas del afiliado con la red contratada. Consulta la disponibilidad al servicio de prestadores.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ms-prestadores</w:t>
            </w:r>
          </w:p>
        </w:tc>
        <w:tc>
          <w:tcPr>
            <w:tcW w:type="dxa" w:w="6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Red de IPS contratadas, sus sedes, especialidades habilitadas, contratos y tarifas vigentes.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ms-cuentas-medicas</w:t>
            </w:r>
          </w:p>
        </w:tc>
        <w:tc>
          <w:tcPr>
            <w:tcW w:type="dxa" w:w="61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Radicación y auditoría de las cuentas que envían los prestadores, y gestión de glosas.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ms-notificaciones</w:t>
            </w:r>
          </w:p>
        </w:tc>
        <w:tc>
          <w:tcPr>
            <w:tcW w:type="dxa" w:w="6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Envío de correo y mensajes de texto al afiliado. Los demás servicios lo invocan; no expone operaciones al exterior.</w:t>
            </w:r>
          </w:p>
        </w:tc>
      </w:tr>
    </w:tbl>
    <w:p>
      <w:pPr>
        <w:spacing w:after="200" w:line="276"/>
      </w:pPr>
      <w:r>
        <w:rPr>
          <w:sz w:val="22"/>
          <w:szCs w:val="22"/>
        </w:rPr>
        <w:t xml:space="preserve"/>
      </w:r>
    </w:p>
    <w:p>
      <w:pPr>
        <w:pStyle w:val="Heading1"/>
        <w:spacing w:after="160" w:before="300"/>
      </w:pPr>
      <w:r>
        <w:rPr>
          <w:b/>
          <w:bCs/>
          <w:color w:val="1F4E79"/>
          <w:sz w:val="28"/>
          <w:szCs w:val="28"/>
        </w:rPr>
        <w:t xml:space="preserve">6. Estructura interna de cada servicio</w:t>
      </w:r>
    </w:p>
    <w:p>
      <w:pPr>
        <w:spacing w:after="160" w:line="276"/>
      </w:pPr>
      <w:r>
        <w:rPr>
          <w:sz w:val="22"/>
          <w:szCs w:val="22"/>
        </w:rPr>
        <w:t xml:space="preserve">Todos los servicios repiten el mismo patrón de subcarpetas: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900"/>
      </w:tblGrid>
      <w:tr>
        <w:trPr>
          <w:tblHeader/>
        </w:trPr>
        <w:tc>
          <w:tcPr>
            <w:tcW w:type="dxa" w:w="18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69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Para qué sirve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src/</w:t>
            </w:r>
          </w:p>
        </w:tc>
        <w:tc>
          <w:tcPr>
            <w:tcW w:type="dxa" w:w="6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Código fuente del servicio. En esta entrega está vacía porque el taller pide únicamente el esqueleto de carpetas.</w:t>
            </w:r>
          </w:p>
        </w:tc>
      </w:tr>
      <w:tr>
        <w:tc>
          <w:tcPr>
            <w:tcW w:type="dxa" w:w="1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config/</w:t>
            </w:r>
          </w:p>
        </w:tc>
        <w:tc>
          <w:tcPr>
            <w:tcW w:type="dxa" w:w="69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Parámetros propios del servicio: cadena de conexión a su base de datos, puerto y variables de entorno.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tests/</w:t>
            </w:r>
          </w:p>
        </w:tc>
        <w:tc>
          <w:tcPr>
            <w:tcW w:type="dxa" w:w="6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Pruebas del servicio. Se mantiene separada de src/ para que la batería de pruebas de un servicio no dependa de otro.</w:t>
            </w:r>
          </w:p>
        </w:tc>
      </w:tr>
      <w:tr>
        <w:tc>
          <w:tcPr>
            <w:tcW w:type="dxa" w:w="1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servicio.txt</w:t>
            </w:r>
          </w:p>
        </w:tc>
        <w:tc>
          <w:tcPr>
            <w:tcW w:type="dxa" w:w="69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Archivo de una línea que describe la responsabilidad de la carpeta y evita que Git la ignore por estar vacía.</w:t>
            </w:r>
          </w:p>
        </w:tc>
      </w:tr>
    </w:tbl>
    <w:p>
      <w:pPr>
        <w:spacing w:after="200" w:line="276"/>
      </w:pPr>
      <w:r>
        <w:rPr>
          <w:sz w:val="22"/>
          <w:szCs w:val="22"/>
        </w:rPr>
        <w:t xml:space="preserve"/>
      </w:r>
    </w:p>
    <w:p>
      <w:pPr>
        <w:pStyle w:val="Heading1"/>
        <w:spacing w:after="160" w:before="300"/>
      </w:pPr>
      <w:r>
        <w:rPr>
          <w:b/>
          <w:bCs/>
          <w:color w:val="1F4E79"/>
          <w:sz w:val="28"/>
          <w:szCs w:val="28"/>
        </w:rPr>
        <w:t xml:space="preserve">7. Nota sobre los archivos .gitkeep</w:t>
      </w:r>
    </w:p>
    <w:p>
      <w:pPr>
        <w:spacing w:after="120" w:line="276"/>
      </w:pPr>
      <w:r>
        <w:rPr>
          <w:sz w:val="22"/>
          <w:szCs w:val="22"/>
        </w:rPr>
        <w:t xml:space="preserve">Git versiona archivos, no carpetas. Una carpeta vacía no queda registrada en el repositorio, de modo que al clonar el proyecto en otra máquina esas carpetas simplemente no aparecerán.</w:t>
      </w:r>
    </w:p>
    <w:p>
      <w:pPr>
        <w:spacing w:after="120" w:line="276"/>
      </w:pPr>
      <w:r>
        <w:rPr>
          <w:sz w:val="22"/>
          <w:szCs w:val="22"/>
        </w:rPr>
        <w:t xml:space="preserve">Como en esta entrega las carpetas src/, config/ y tests/ todavía no contienen código, dentro de cada una se colocó un archivo .gitkeep vacío. Es un archivo sin contenido cuyo único propósito es darle a Git algo que versionar para que la carpeta sobreviva al commit.</w:t>
      </w:r>
    </w:p>
    <w:p>
      <w:pPr>
        <w:spacing w:after="120" w:line="276"/>
      </w:pPr>
      <w:r>
        <w:rPr>
          <w:sz w:val="22"/>
          <w:szCs w:val="22"/>
        </w:rPr>
        <w:t xml:space="preserve">El nombre .gitkeep no es una funcionalidad de Git sino una convención de la comunidad: cualquier otro nombre habría funcionado igual. Cuando cada carpeta reciba su código, estos archivos se pueden eliminar sin consecuencia.</w:t>
      </w:r>
    </w:p>
    <w:p>
      <w:pPr>
        <w:pStyle w:val="Heading1"/>
        <w:spacing w:after="160" w:before="300"/>
      </w:pPr>
      <w:r>
        <w:rPr>
          <w:b/>
          <w:bCs/>
          <w:color w:val="1F4E79"/>
          <w:sz w:val="28"/>
          <w:szCs w:val="28"/>
        </w:rPr>
        <w:t xml:space="preserve">8. Contenido por rama</w:t>
      </w:r>
    </w:p>
    <w:p>
      <w:pPr>
        <w:spacing w:after="120" w:line="276"/>
      </w:pPr>
      <w:r>
        <w:rPr>
          <w:sz w:val="22"/>
          <w:szCs w:val="22"/>
        </w:rPr>
        <w:t xml:space="preserve">Este mismo documento existe en las tres ramas del repositorio, porque describe la estructura base sobre la que las tres trabajan. Lo que cambia entre ramas es el material adicional: la rama desarrollo incorpora la carpeta Docs con la documentación de arquitectura, y tanto desarrollo como pruebas incorporan la carpeta Algoritmos_pruebas. La rama main se conserva como la línea base, sin ninguna de las dos.</w:t>
      </w:r>
    </w:p>
    <w:p>
      <w:pPr>
        <w:spacing w:after="120" w:line="276"/>
      </w:pPr>
      <w:r>
        <w:rPr>
          <w:sz w:val="22"/>
          <w:szCs w:val="22"/>
        </w:rPr>
        <w:t xml:space="preserve">Las ramas no se fusionan entre sí de forma intencional: el ejercicio busca evidenciar que pueden divergir y mantener contenidos distintos dentro del mismo repositorio.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2026-09-24T23:27:58.358Z</dcterms:created>
  <dcterms:modified xsi:type="dcterms:W3CDTF">2026-09-24T23:27:58.359Z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