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74" w:lineRule="auto"/>
        <w:jc w:val="center"/>
        <w:rPr/>
        <w:sectPr>
          <w:footerReference r:id="rId7" w:type="default"/>
          <w:pgSz w:h="16838" w:w="11906" w:orient="portrait"/>
          <w:pgMar w:bottom="1440" w:top="1400" w:left="2156" w:right="2156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Reglas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Mecánicos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Gestión</w:t>
            </w:r>
          </w:hyperlink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servicios y OT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Ordenes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Ordenes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 y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tl w:val="0"/>
              </w:rPr>
              <w:t xml:space="preserve">Auditoría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18" w:line="265" w:lineRule="auto"/>
        <w:ind w:left="211" w:hanging="1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18" w:line="265" w:lineRule="auto"/>
        <w:ind w:left="406" w:hanging="1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Describir las reglas de negocio que rigen el sistema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CarMotorFix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para garantizar un funcionamiento ordenado, eficiente y alineado con los objetivos del negocio. Estas reglas establecen lineamientos claros sobre los procesos que involucran la gestión de talleres mecánicos.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8">
      <w:pPr>
        <w:spacing w:after="218" w:line="265" w:lineRule="auto"/>
        <w:ind w:left="396" w:firstLine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reglas de negocio aplican a todos los actores del sistema, incluyendo administradores, mecánicos y clientes, quienes deben seguir estos lineamientos para realizar sus funciones dentro del sistema. Además, el sistema automatiza ciertas reglas para garantizar su cumplimiento.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Generales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07" w:lineRule="auto"/>
        <w:ind w:left="1281" w:hanging="74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Todos los usuarios deben autenticarse en el sistema para acceder a las funcionalidades principales.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07" w:lineRule="auto"/>
        <w:ind w:left="1281" w:hanging="740"/>
        <w:rPr/>
      </w:pPr>
      <w:r w:rsidDel="00000000" w:rsidR="00000000" w:rsidRPr="00000000">
        <w:rPr>
          <w:rtl w:val="0"/>
        </w:rPr>
        <w:t xml:space="preserve">La gestión de servicios y órdenes de trabajo solo puede realizarse durante los horarios laborales establecidos por el taller.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07" w:lineRule="auto"/>
        <w:ind w:left="1281" w:hanging="74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datos de los usuarios (clientes, mecánicos y administradores) deben ser protegidos bajo estándares de seguridad como cifrado y uso de tokens JWT.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Gestion de los Usuarios</w:t>
      </w:r>
    </w:p>
    <w:p w:rsidR="00000000" w:rsidDel="00000000" w:rsidP="00000000" w:rsidRDefault="00000000" w:rsidRPr="00000000" w14:paraId="0000001E">
      <w:pPr>
        <w:pStyle w:val="Heading2"/>
        <w:ind w:firstLine="708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Un cliente puede registrar múltiples vehículos, pero cada vehículo debe tener un número de placa único.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clientes sólo pueden modificar información de sus vehículos y no de los servicios asociados una vez generada la orden de trabajo.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clientes pueden transferir un vehículo a otro cliente del sistema previa validación de ambas partes.</w:t>
      </w:r>
    </w:p>
    <w:p w:rsidR="00000000" w:rsidDel="00000000" w:rsidP="00000000" w:rsidRDefault="00000000" w:rsidRPr="00000000" w14:paraId="00000022">
      <w:pPr>
        <w:pStyle w:val="Heading2"/>
        <w:ind w:firstLine="708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Mecánicos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mecánicos deben actualizar el estado de la orden de trabajo (ej., en proceso, completada) antes del cierre.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mecánicos solo pueden ver las órdenes de trabajo asignadas por el administrador.</w:t>
      </w:r>
    </w:p>
    <w:p w:rsidR="00000000" w:rsidDel="00000000" w:rsidP="00000000" w:rsidRDefault="00000000" w:rsidRPr="00000000" w14:paraId="00000025">
      <w:pPr>
        <w:pStyle w:val="Heading2"/>
        <w:ind w:firstLine="708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Solo el administrador puede habilitar o deshabilitar mecánicos y servicios en el sistema.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El administrador debe asignar al menos un mecánico a cada orden de trabajo generada.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02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administradores no pueden eliminar registros históricos de órdenes de trabajo ni de clientes por políticas de auditoría.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Gestión de servicios y OT</w:t>
      </w:r>
    </w:p>
    <w:p w:rsidR="00000000" w:rsidDel="00000000" w:rsidP="00000000" w:rsidRDefault="00000000" w:rsidRPr="00000000" w14:paraId="0000002A">
      <w:pPr>
        <w:pStyle w:val="Heading2"/>
        <w:ind w:firstLine="708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18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servicios deben tener un precio base asignado que podrá ser ajustado por el administrador en función del proceso de la orden del trabajo.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18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Los servicios deshabilitados no pueden ser incluidos en nuevas órdenes de trabajo.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18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Cada servicio debe estar asociado a un tiempo estimado de realización para fines de programación.</w:t>
      </w:r>
    </w:p>
    <w:p w:rsidR="00000000" w:rsidDel="00000000" w:rsidP="00000000" w:rsidRDefault="00000000" w:rsidRPr="00000000" w14:paraId="0000002E">
      <w:pPr>
        <w:pStyle w:val="Heading2"/>
        <w:ind w:firstLine="708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Ordenes de trabajo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18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Las órdenes de trabajo deben incluir al menos un servicio para ser registradas en el Sistema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18" w:line="265" w:lineRule="auto"/>
        <w:ind w:left="1636" w:hanging="740"/>
        <w:rPr/>
      </w:pPr>
      <w:r w:rsidDel="00000000" w:rsidR="00000000" w:rsidRPr="00000000">
        <w:rPr>
          <w:rtl w:val="0"/>
        </w:rPr>
        <w:t xml:space="preserve">El estado de la orden de trabajo debe actualizarse en tiempo real para notificar al cliente sobre su progreso.</w:t>
      </w:r>
    </w:p>
    <w:p w:rsidR="00000000" w:rsidDel="00000000" w:rsidP="00000000" w:rsidRDefault="00000000" w:rsidRPr="00000000" w14:paraId="00000031">
      <w:pPr>
        <w:pStyle w:val="Heading2"/>
        <w:ind w:firstLine="708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Ordenes de trabajo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Cada vehículo debe estar asociado a un cliente registrado en el Sistema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Los vehículos desactivados no podrán ser asociados a nuevas órdenes de trabajo.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Solo el cliente propietario del vehículo puede realizar modificaciones en su información.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Notificaciones y seguridad </w:t>
      </w:r>
    </w:p>
    <w:p w:rsidR="00000000" w:rsidDel="00000000" w:rsidP="00000000" w:rsidRDefault="00000000" w:rsidRPr="00000000" w14:paraId="00000036">
      <w:pPr>
        <w:pStyle w:val="Heading2"/>
        <w:ind w:firstLine="70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El sistema enviará notificaciones al cliente sobre el estado de su orden de trabajo en tiempo real.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Las notificaciones por correo electrónico deben incluir detalles como fecha, estado y servicios solicitados.</w:t>
      </w:r>
    </w:p>
    <w:p w:rsidR="00000000" w:rsidDel="00000000" w:rsidP="00000000" w:rsidRDefault="00000000" w:rsidRPr="00000000" w14:paraId="00000039">
      <w:pPr>
        <w:pStyle w:val="Heading2"/>
        <w:ind w:firstLine="70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Todas las contraseñas deben cumplir con un mínimo de robustez: 8 caracteres, con letras, números y símbolos especiales.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La transferencia de datos sensibles debe realizarse exclusivamente mediante protocolos HTTP.</w:t>
      </w:r>
    </w:p>
    <w:p w:rsidR="00000000" w:rsidDel="00000000" w:rsidP="00000000" w:rsidRDefault="00000000" w:rsidRPr="00000000" w14:paraId="0000003C">
      <w:pPr>
        <w:pStyle w:val="Heading2"/>
        <w:ind w:firstLine="708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Auditoría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18" w:line="265" w:lineRule="auto"/>
        <w:ind w:left="1636" w:hanging="395.99999999999994"/>
        <w:rPr/>
      </w:pPr>
      <w:r w:rsidDel="00000000" w:rsidR="00000000" w:rsidRPr="00000000">
        <w:rPr>
          <w:rtl w:val="0"/>
        </w:rPr>
        <w:t xml:space="preserve">Todas las modificaciones en las órdenes de trabajo deben ser registradas con un timestamp y el ID del usuario que las realizó.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Usuario que solicita servicios en el taller.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Mecánico:</w:t>
      </w:r>
      <w:r w:rsidDel="00000000" w:rsidR="00000000" w:rsidRPr="00000000">
        <w:rPr>
          <w:rtl w:val="0"/>
        </w:rPr>
        <w:t xml:space="preserve"> Técnico encargado de realizar las órdenes de trabajo asignadas.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Persona encargada de la gestión completa del sistema.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Orden de Trabajo (OT):</w:t>
      </w:r>
      <w:r w:rsidDel="00000000" w:rsidR="00000000" w:rsidRPr="00000000">
        <w:rPr>
          <w:rtl w:val="0"/>
        </w:rPr>
        <w:t xml:space="preserve"> Registro de los servicios solicitados por un cliente para su vehículo.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Servicio:</w:t>
      </w:r>
      <w:r w:rsidDel="00000000" w:rsidR="00000000" w:rsidRPr="00000000">
        <w:rPr>
          <w:rtl w:val="0"/>
        </w:rPr>
        <w:t xml:space="preserve"> Actividad ofrecida por el taller, como mantenimiento o reparación.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JWT:</w:t>
      </w:r>
      <w:r w:rsidDel="00000000" w:rsidR="00000000" w:rsidRPr="00000000">
        <w:rPr>
          <w:rtl w:val="0"/>
        </w:rPr>
        <w:t xml:space="preserve"> Mecanismo de autenticación y autorización basado en estándares de seguridad.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18" w:line="26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Historial:</w:t>
      </w:r>
      <w:r w:rsidDel="00000000" w:rsidR="00000000" w:rsidRPr="00000000">
        <w:rPr>
          <w:rtl w:val="0"/>
        </w:rPr>
        <w:t xml:space="preserve"> Registro de órdenes de trabajo o actividades realizadas dentro del sistema.</w:t>
      </w:r>
    </w:p>
    <w:p w:rsidR="00000000" w:rsidDel="00000000" w:rsidP="00000000" w:rsidRDefault="00000000" w:rsidRPr="00000000" w14:paraId="00000046">
      <w:pPr>
        <w:spacing w:after="218" w:line="265" w:lineRule="auto"/>
        <w:ind w:left="406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96" w:hanging="39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281" w:hanging="1281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636" w:hanging="163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356" w:hanging="235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076" w:hanging="307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796" w:hanging="379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516" w:hanging="451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236" w:hanging="523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956" w:hanging="5956"/>
      </w:pPr>
      <w:rPr>
        <w:rFonts w:ascii="Verdana" w:cs="Verdana" w:eastAsia="Verdana" w:hAnsi="Verdana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A81061"/>
  </w:style>
  <w:style w:type="paragraph" w:styleId="Ttulo1">
    <w:name w:val="heading 1"/>
    <w:basedOn w:val="Normal"/>
    <w:next w:val="Normal"/>
    <w:link w:val="Ttulo1Car"/>
    <w:uiPriority w:val="9"/>
    <w:qFormat w:val="1"/>
    <w:rsid w:val="00A81061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81061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061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061"/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A810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061"/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061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A81061"/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061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061"/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061"/>
    <w:pPr>
      <w:spacing w:after="120" w:before="120"/>
      <w:ind w:left="720"/>
    </w:pPr>
    <w:rPr>
      <w:color w:val="0e2841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A81061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A8106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061"/>
    <w:rPr>
      <w:b w:val="1"/>
      <w:bCs w:val="1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061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061"/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 w:val="1"/>
    <w:rsid w:val="00A81061"/>
    <w:rPr>
      <w:b w:val="1"/>
      <w:bCs w:val="1"/>
      <w:smallCaps w:val="1"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81061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81061"/>
    <w:pPr>
      <w:spacing w:after="100"/>
      <w:ind w:left="220"/>
    </w:pPr>
    <w:rPr>
      <w:rFonts w:cs="Times New Roman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81061"/>
    <w:pPr>
      <w:spacing w:after="100"/>
    </w:pPr>
    <w:rPr>
      <w:rFonts w:cs="Times New Roman"/>
      <w:lang w:eastAsia="es-CL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81061"/>
    <w:pPr>
      <w:spacing w:after="100"/>
      <w:ind w:left="440"/>
    </w:pPr>
    <w:rPr>
      <w:rFonts w:cs="Times New Roman"/>
      <w:lang w:eastAsia="es-CL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81061"/>
    <w:pPr>
      <w:spacing w:line="240" w:lineRule="auto"/>
    </w:pPr>
    <w:rPr>
      <w:b w:val="1"/>
      <w:bCs w:val="1"/>
      <w:smallCaps w:val="1"/>
      <w:color w:val="0e2841" w:themeColor="text2"/>
    </w:rPr>
  </w:style>
  <w:style w:type="character" w:styleId="Textoennegrita">
    <w:name w:val="Strong"/>
    <w:basedOn w:val="Fuentedeprrafopredeter"/>
    <w:uiPriority w:val="22"/>
    <w:qFormat w:val="1"/>
    <w:rsid w:val="00A8106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81061"/>
    <w:rPr>
      <w:i w:val="1"/>
      <w:iCs w:val="1"/>
    </w:rPr>
  </w:style>
  <w:style w:type="paragraph" w:styleId="Sinespaciado">
    <w:name w:val="No Spacing"/>
    <w:uiPriority w:val="1"/>
    <w:qFormat w:val="1"/>
    <w:rsid w:val="00A8106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A81061"/>
    <w:rPr>
      <w:i w:val="1"/>
      <w:iCs w:val="1"/>
      <w:color w:val="595959" w:themeColor="text1" w:themeTint="0000A6"/>
    </w:rPr>
  </w:style>
  <w:style w:type="character" w:styleId="Referenciasutil">
    <w:name w:val="Subtle Reference"/>
    <w:basedOn w:val="Fuentedeprrafopredeter"/>
    <w:uiPriority w:val="31"/>
    <w:qFormat w:val="1"/>
    <w:rsid w:val="00A81061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Ttulodellibro">
    <w:name w:val="Book Title"/>
    <w:basedOn w:val="Fuentedeprrafopredeter"/>
    <w:uiPriority w:val="33"/>
    <w:qFormat w:val="1"/>
    <w:rsid w:val="00A81061"/>
    <w:rPr>
      <w:b w:val="1"/>
      <w:bCs w:val="1"/>
      <w:smallCaps w:val="1"/>
      <w:spacing w:val="10"/>
    </w:rPr>
  </w:style>
  <w:style w:type="character" w:styleId="Hipervnculo">
    <w:name w:val="Hyperlink"/>
    <w:basedOn w:val="Fuentedeprrafopredeter"/>
    <w:uiPriority w:val="99"/>
    <w:unhideWhenUsed w:val="1"/>
    <w:rsid w:val="00A81061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9w85jOhC1Oet1vb/OVdqPW40Q==">CgMxLjAyCGguZ2pkZ3hzMgloLjMwajB6bGwyCWguMWZvYjl0ZTIJaC4zem55c2g3MgloLjJldDkycDAyCGgudHlqY3d0MgloLjNkeTZ2a20yCWguMXQzaDVzZjIJaC40ZDM0b2c4MgloLjJzOGV5bzEyCWguMTdkcDh2dTIJaC4zcmRjcmpuMgloLjI2aW4xcmcyCGgubG54Yno5MgloLjM1bmt1bjIyCWguMWtzdjR1djgAciExVjFTSlFRclJvT1o5RmZnUGo2bUNyOXdhdkJ3Vm9id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2024-11-17T02:27:00Z</dcterms:created>
  <dc:creator>paulo escobar</dc:creator>
</cp:coreProperties>
</file>