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técnica de EduGestor</w:t>
      </w:r>
    </w:p>
    <w:p>
      <w:pPr>
        <w:pStyle w:val="Subtitle"/>
      </w:pPr>
      <w:r>
        <w:t>Arquitectura, instalación, operación, mantenimiento y continuidad de IA</w:t>
      </w:r>
    </w:p>
    <w:p>
      <w:r>
        <w:t>EDUGESTOR / INNOVAGESTOR    •    DOCUMENTO DE PROYECTO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67"/>
        <w:gridCol w:w="4867"/>
      </w:tblGrid>
      <w:tr>
        <w:tc>
          <w:tcPr>
            <w:tcW w:type="dxa" w:w="4867"/>
            <w:vAlign w:val="center"/>
          </w:tcPr>
          <w:p>
            <w:r>
              <w:t>Control</w:t>
            </w:r>
          </w:p>
        </w:tc>
        <w:tc>
          <w:tcPr>
            <w:tcW w:type="dxa" w:w="4867"/>
            <w:vAlign w:val="center"/>
          </w:tcPr>
          <w:p>
            <w:r>
              <w:t>Detalle</w:t>
            </w:r>
          </w:p>
        </w:tc>
      </w:tr>
      <w:tr>
        <w:tc>
          <w:tcPr>
            <w:tcW w:type="dxa" w:w="4867"/>
            <w:vAlign w:val="center"/>
          </w:tcPr>
          <w:p>
            <w:r>
              <w:t>Código</w:t>
            </w:r>
          </w:p>
        </w:tc>
        <w:tc>
          <w:tcPr>
            <w:tcW w:type="dxa" w:w="4867"/>
            <w:vAlign w:val="center"/>
          </w:tcPr>
          <w:p>
            <w:r>
              <w:t>DOC-TEC</w:t>
            </w:r>
          </w:p>
        </w:tc>
      </w:tr>
      <w:tr>
        <w:tc>
          <w:tcPr>
            <w:tcW w:type="dxa" w:w="4867"/>
            <w:vAlign w:val="center"/>
          </w:tcPr>
          <w:p>
            <w:r>
              <w:t>Versión</w:t>
            </w:r>
          </w:p>
        </w:tc>
        <w:tc>
          <w:tcPr>
            <w:tcW w:type="dxa" w:w="4867"/>
            <w:vAlign w:val="center"/>
          </w:tcPr>
          <w:p>
            <w:r>
              <w:t>2.0 · Edición documental</w:t>
            </w:r>
          </w:p>
        </w:tc>
      </w:tr>
      <w:tr>
        <w:tc>
          <w:tcPr>
            <w:tcW w:type="dxa" w:w="4867"/>
            <w:vAlign w:val="center"/>
          </w:tcPr>
          <w:p>
            <w:r>
              <w:t>Fecha de edición</w:t>
            </w:r>
          </w:p>
        </w:tc>
        <w:tc>
          <w:tcPr>
            <w:tcW w:type="dxa" w:w="4867"/>
            <w:vAlign w:val="center"/>
          </w:tcPr>
          <w:p>
            <w:r>
              <w:t>13 de octubre de 2026</w:t>
            </w:r>
          </w:p>
        </w:tc>
      </w:tr>
      <w:tr>
        <w:tc>
          <w:tcPr>
            <w:tcW w:type="dxa" w:w="4867"/>
            <w:vAlign w:val="center"/>
          </w:tcPr>
          <w:p>
            <w:r>
              <w:t>Base documental</w:t>
            </w:r>
          </w:p>
        </w:tc>
        <w:tc>
          <w:tcPr>
            <w:tcW w:type="dxa" w:w="4867"/>
            <w:vAlign w:val="center"/>
          </w:tcPr>
          <w:p>
            <w:r>
              <w:t>Guía de estado actual, versión 1 (corte 07-10-2026)</w:t>
            </w:r>
          </w:p>
        </w:tc>
      </w:tr>
      <w:tr>
        <w:tc>
          <w:tcPr>
            <w:tcW w:type="dxa" w:w="4867"/>
            <w:vAlign w:val="center"/>
          </w:tcPr>
          <w:p>
            <w:r>
              <w:t>Estado</w:t>
            </w:r>
          </w:p>
        </w:tc>
        <w:tc>
          <w:tcPr>
            <w:tcW w:type="dxa" w:w="4867"/>
            <w:vAlign w:val="center"/>
          </w:tcPr>
          <w:p>
            <w:r>
              <w:t>Borrador para revisión del equipo</w:t>
            </w:r>
          </w:p>
        </w:tc>
      </w:tr>
      <w:tr>
        <w:tc>
          <w:tcPr>
            <w:tcW w:type="dxa" w:w="4867"/>
            <w:vAlign w:val="center"/>
          </w:tcPr>
          <w:p>
            <w:r>
              <w:t>Audiencia</w:t>
            </w:r>
          </w:p>
        </w:tc>
        <w:tc>
          <w:tcPr>
            <w:tcW w:type="dxa" w:w="4867"/>
            <w:vAlign w:val="center"/>
          </w:tcPr>
          <w:p>
            <w:r>
              <w:t>Equipo de desarrollo / participantes del proyecto</w:t>
            </w:r>
          </w:p>
        </w:tc>
      </w:tr>
    </w:tbl>
    <w:p>
      <w:r>
        <w:br w:type="page"/>
      </w:r>
    </w:p>
    <w:p>
      <w:pPr>
        <w:pStyle w:val="Heading1"/>
      </w:pPr>
      <w:r>
        <w:t>1. Propósito y alcance</w:t>
      </w:r>
    </w:p>
    <w:p>
      <w:r>
        <w:t>Documento técnico estructurado bajo prácticas habituales de documentación de software: control de versiones, arquitectura, configuración, procedimientos operativos, pruebas, seguridad, incidencias y trazabilidad. Conserva la evidencia de la guía original y diferencia observaciones verificadas de propuestas de desarrollo.</w:t>
      </w:r>
    </w:p>
    <w:p>
      <w:r>
        <w:t>Alcance: plataforma Django de un colegio como base, Asistente Docente y Tutor Escolar RAG. El documento fuente incluye funcionalidades heredadas fuera del alcance de la demostración, como OCR y multi-institución; su presencia en código no implica compromiso de entrega.</w:t>
      </w:r>
    </w:p>
    <w:p>
      <w:pPr>
        <w:pStyle w:val="Heading1"/>
      </w:pPr>
      <w:r>
        <w:t>2. Resumen ejecutivo y estado de componentes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c>
          <w:tcPr>
            <w:tcW w:type="dxa" w:w="3245"/>
            <w:vAlign w:val="center"/>
          </w:tcPr>
          <w:p>
            <w:r>
              <w:t>Componente</w:t>
            </w:r>
          </w:p>
        </w:tc>
        <w:tc>
          <w:tcPr>
            <w:tcW w:type="dxa" w:w="3245"/>
            <w:vAlign w:val="center"/>
          </w:tcPr>
          <w:p>
            <w:r>
              <w:t>Estado respaldado</w:t>
            </w:r>
          </w:p>
        </w:tc>
        <w:tc>
          <w:tcPr>
            <w:tcW w:type="dxa" w:w="3245"/>
            <w:vAlign w:val="center"/>
          </w:tcPr>
          <w:p>
            <w:r>
              <w:t>Pendiente de confirmar</w:t>
            </w:r>
          </w:p>
        </w:tc>
      </w:tr>
      <w:tr>
        <w:tc>
          <w:tcPr>
            <w:tcW w:type="dxa" w:w="3245"/>
            <w:vAlign w:val="center"/>
          </w:tcPr>
          <w:p>
            <w:r>
              <w:t>Django / aplicación</w:t>
            </w:r>
          </w:p>
        </w:tc>
        <w:tc>
          <w:tcPr>
            <w:tcW w:type="dxa" w:w="3245"/>
            <w:vAlign w:val="center"/>
          </w:tcPr>
          <w:p>
            <w:r>
              <w:t>Código Django, vistas y módulos IA identificados; comprobaciones y migraciones ejecutadas en avances posteriores reportados</w:t>
            </w:r>
          </w:p>
        </w:tc>
        <w:tc>
          <w:tcPr>
            <w:tcW w:type="dxa" w:w="3245"/>
            <w:vAlign w:val="center"/>
          </w:tcPr>
          <w:p>
            <w:r>
              <w:t>Recorrido funcional completo por rol</w:t>
            </w:r>
          </w:p>
        </w:tc>
      </w:tr>
      <w:tr>
        <w:tc>
          <w:tcPr>
            <w:tcW w:type="dxa" w:w="3245"/>
            <w:vAlign w:val="center"/>
          </w:tcPr>
          <w:p>
            <w:r>
              <w:t>PostgreSQL / Docker</w:t>
            </w:r>
          </w:p>
        </w:tc>
        <w:tc>
          <w:tcPr>
            <w:tcW w:type="dxa" w:w="3245"/>
            <w:vAlign w:val="center"/>
          </w:tcPr>
          <w:p>
            <w:r>
              <w:t>Compose con postgres:17; posteriormente se reportó edugestor-db healthy</w:t>
            </w:r>
          </w:p>
        </w:tc>
        <w:tc>
          <w:tcPr>
            <w:tcW w:type="dxa" w:w="3245"/>
            <w:vAlign w:val="center"/>
          </w:tcPr>
          <w:p>
            <w:r>
              <w:t>Revalidar tras reinicio o cambio de equipo</w:t>
            </w:r>
          </w:p>
        </w:tc>
      </w:tr>
      <w:tr>
        <w:tc>
          <w:tcPr>
            <w:tcW w:type="dxa" w:w="3245"/>
            <w:vAlign w:val="center"/>
          </w:tcPr>
          <w:p>
            <w:r>
              <w:t>Proveedor IA</w:t>
            </w:r>
          </w:p>
        </w:tc>
        <w:tc>
          <w:tcPr>
            <w:tcW w:type="dxa" w:w="3245"/>
            <w:vAlign w:val="center"/>
          </w:tcPr>
          <w:p>
            <w:r>
              <w:t>Gemini y respuestas simuladas en proveedor.py</w:t>
            </w:r>
          </w:p>
        </w:tc>
        <w:tc>
          <w:tcPr>
            <w:tcW w:type="dxa" w:w="3245"/>
            <w:vAlign w:val="center"/>
          </w:tcPr>
          <w:p>
            <w:r>
              <w:t>Registrar ejecución real y manejo de cuota</w:t>
            </w:r>
          </w:p>
        </w:tc>
      </w:tr>
      <w:tr>
        <w:tc>
          <w:tcPr>
            <w:tcW w:type="dxa" w:w="3245"/>
            <w:vAlign w:val="center"/>
          </w:tcPr>
          <w:p>
            <w:r>
              <w:t>Tutor RAG</w:t>
            </w:r>
          </w:p>
        </w:tc>
        <w:tc>
          <w:tcPr>
            <w:tcW w:type="dxa" w:w="3245"/>
            <w:vAlign w:val="center"/>
          </w:tcPr>
          <w:p>
            <w:r>
              <w:t>Prueba independiente de recuperación con checkpoint de 420 fragmentos y dimensión 768 reportada posteriormente</w:t>
            </w:r>
          </w:p>
        </w:tc>
        <w:tc>
          <w:tcPr>
            <w:tcW w:type="dxa" w:w="3245"/>
            <w:vAlign w:val="center"/>
          </w:tcPr>
          <w:p>
            <w:r>
              <w:t>Integración verificable del retriever con vistas, orquestador y respuesta al usuario</w:t>
            </w:r>
          </w:p>
        </w:tc>
      </w:tr>
      <w:tr>
        <w:tc>
          <w:tcPr>
            <w:tcW w:type="dxa" w:w="3245"/>
            <w:vAlign w:val="center"/>
          </w:tcPr>
          <w:p>
            <w:r>
              <w:t>Orquestador</w:t>
            </w:r>
          </w:p>
        </w:tc>
        <w:tc>
          <w:tcPr>
            <w:tcW w:type="dxa" w:w="3245"/>
            <w:vAlign w:val="center"/>
          </w:tcPr>
          <w:p>
            <w:r>
              <w:t>Trabajo en curso durante semana 9, informado en planificación</w:t>
            </w:r>
          </w:p>
        </w:tc>
        <w:tc>
          <w:tcPr>
            <w:tcW w:type="dxa" w:w="3245"/>
            <w:vAlign w:val="center"/>
          </w:tcPr>
          <w:p>
            <w:r>
              <w:t>Contrato, pruebas y trazabilidad de llamadas</w:t>
            </w:r>
          </w:p>
        </w:tc>
      </w:tr>
      <w:tr>
        <w:tc>
          <w:tcPr>
            <w:tcW w:type="dxa" w:w="3245"/>
            <w:vAlign w:val="center"/>
          </w:tcPr>
          <w:p>
            <w:r>
              <w:t>Seguridad</w:t>
            </w:r>
          </w:p>
        </w:tc>
        <w:tc>
          <w:tcPr>
            <w:tcW w:type="dxa" w:w="3245"/>
            <w:vAlign w:val="center"/>
          </w:tcPr>
          <w:p>
            <w:r>
              <w:t>Separación de dominio y roles documentada en código</w:t>
            </w:r>
          </w:p>
        </w:tc>
        <w:tc>
          <w:tcPr>
            <w:tcW w:type="dxa" w:w="3245"/>
            <w:vAlign w:val="center"/>
          </w:tcPr>
          <w:p>
            <w:r>
              <w:t>Pruebas de autorización, filtrado de PII e inyección</w:t>
            </w:r>
          </w:p>
        </w:tc>
      </w:tr>
    </w:tbl>
    <w:p>
      <w:r>
        <w:t>Nota de procedencia: la guía original tiene corte 7 de octubre. Los avances posteriores (Docker saludable, migraciones y checkpoint RAG) provienen del seguimiento de desarrollo; se registran como reportados y no como una auditoría independiente del repositorio actualizado.</w:t>
      </w:r>
    </w:p>
    <w:p>
      <w:pPr>
        <w:pStyle w:val="Heading1"/>
      </w:pPr>
      <w:r>
        <w:t>3. Arquitectura lógica y flujos</w:t>
      </w:r>
    </w:p>
    <w:p>
      <w:r>
        <w:t>Topología constatada: navegador → aplicación Django ejecutada en Windows → PostgreSQL 17 en contenedor Docker. La capa colegio/ia contiene vistas, funciones del dominio, asistentes y proveedor Gemini. No hay evidencia en el documento base de un frontend React/Vue separado ni despliegue cloud productivo.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c>
          <w:tcPr>
            <w:tcW w:type="dxa" w:w="3245"/>
            <w:vAlign w:val="center"/>
          </w:tcPr>
          <w:p>
            <w:r>
              <w:t>Capa</w:t>
            </w:r>
          </w:p>
        </w:tc>
        <w:tc>
          <w:tcPr>
            <w:tcW w:type="dxa" w:w="3245"/>
            <w:vAlign w:val="center"/>
          </w:tcPr>
          <w:p>
            <w:r>
              <w:t>Archivo / componente</w:t>
            </w:r>
          </w:p>
        </w:tc>
        <w:tc>
          <w:tcPr>
            <w:tcW w:type="dxa" w:w="3245"/>
            <w:vAlign w:val="center"/>
          </w:tcPr>
          <w:p>
            <w:r>
              <w:t>Responsabilidad</w:t>
            </w:r>
          </w:p>
        </w:tc>
      </w:tr>
      <w:tr>
        <w:tc>
          <w:tcPr>
            <w:tcW w:type="dxa" w:w="3245"/>
            <w:vAlign w:val="center"/>
          </w:tcPr>
          <w:p>
            <w:r>
              <w:t>Presentación</w:t>
            </w:r>
          </w:p>
        </w:tc>
        <w:tc>
          <w:tcPr>
            <w:tcW w:type="dxa" w:w="3245"/>
            <w:vAlign w:val="center"/>
          </w:tcPr>
          <w:p>
            <w:r>
              <w:t>colegio/templates, colegio/views_ia.py</w:t>
            </w:r>
          </w:p>
        </w:tc>
        <w:tc>
          <w:tcPr>
            <w:tcW w:type="dxa" w:w="3245"/>
            <w:vAlign w:val="center"/>
          </w:tcPr>
          <w:p>
            <w:r>
              <w:t>Interfaz, formularios y acciones</w:t>
            </w:r>
          </w:p>
        </w:tc>
      </w:tr>
      <w:tr>
        <w:tc>
          <w:tcPr>
            <w:tcW w:type="dxa" w:w="3245"/>
            <w:vAlign w:val="center"/>
          </w:tcPr>
          <w:p>
            <w:r>
              <w:t>Dominio</w:t>
            </w:r>
          </w:p>
        </w:tc>
        <w:tc>
          <w:tcPr>
            <w:tcW w:type="dxa" w:w="3245"/>
            <w:vAlign w:val="center"/>
          </w:tcPr>
          <w:p>
            <w:r>
              <w:t>colegio/ia/dominio.py</w:t>
            </w:r>
          </w:p>
        </w:tc>
        <w:tc>
          <w:tcPr>
            <w:tcW w:type="dxa" w:w="3245"/>
            <w:vAlign w:val="center"/>
          </w:tcPr>
          <w:p>
            <w:r>
              <w:t>Consultas del contexto escolar y controles por rol</w:t>
            </w:r>
          </w:p>
        </w:tc>
      </w:tr>
      <w:tr>
        <w:tc>
          <w:tcPr>
            <w:tcW w:type="dxa" w:w="3245"/>
            <w:vAlign w:val="center"/>
          </w:tcPr>
          <w:p>
            <w:r>
              <w:t>Asistentes</w:t>
            </w:r>
          </w:p>
        </w:tc>
        <w:tc>
          <w:tcPr>
            <w:tcW w:type="dxa" w:w="3245"/>
            <w:vAlign w:val="center"/>
          </w:tcPr>
          <w:p>
            <w:r>
              <w:t>colegio/ia/asistentes.py</w:t>
            </w:r>
          </w:p>
        </w:tc>
        <w:tc>
          <w:tcPr>
            <w:tcW w:type="dxa" w:w="3245"/>
            <w:vAlign w:val="center"/>
          </w:tcPr>
          <w:p>
            <w:r>
              <w:t>Prompts, validaciones y generación</w:t>
            </w:r>
          </w:p>
        </w:tc>
      </w:tr>
      <w:tr>
        <w:tc>
          <w:tcPr>
            <w:tcW w:type="dxa" w:w="3245"/>
            <w:vAlign w:val="center"/>
          </w:tcPr>
          <w:p>
            <w:r>
              <w:t>Proveedor</w:t>
            </w:r>
          </w:p>
        </w:tc>
        <w:tc>
          <w:tcPr>
            <w:tcW w:type="dxa" w:w="3245"/>
            <w:vAlign w:val="center"/>
          </w:tcPr>
          <w:p>
            <w:r>
              <w:t>colegio/ia/proveedor.py</w:t>
            </w:r>
          </w:p>
        </w:tc>
        <w:tc>
          <w:tcPr>
            <w:tcW w:type="dxa" w:w="3245"/>
            <w:vAlign w:val="center"/>
          </w:tcPr>
          <w:p>
            <w:r>
              <w:t>SDK Gemini, modo simulado, excepciones</w:t>
            </w:r>
          </w:p>
        </w:tc>
      </w:tr>
      <w:tr>
        <w:tc>
          <w:tcPr>
            <w:tcW w:type="dxa" w:w="3245"/>
            <w:vAlign w:val="center"/>
          </w:tcPr>
          <w:p>
            <w:r>
              <w:t>Recuperación propuesta</w:t>
            </w:r>
          </w:p>
        </w:tc>
        <w:tc>
          <w:tcPr>
            <w:tcW w:type="dxa" w:w="3245"/>
            <w:vAlign w:val="center"/>
          </w:tcPr>
          <w:p>
            <w:r>
              <w:t>colegio/ia/tutor/ · scripts de indexación</w:t>
            </w:r>
          </w:p>
        </w:tc>
        <w:tc>
          <w:tcPr>
            <w:tcW w:type="dxa" w:w="3245"/>
            <w:vAlign w:val="center"/>
          </w:tcPr>
          <w:p>
            <w:r>
              <w:t>Extracción, chunks, embeddings y búsqueda</w:t>
            </w:r>
          </w:p>
        </w:tc>
      </w:tr>
      <w:tr>
        <w:tc>
          <w:tcPr>
            <w:tcW w:type="dxa" w:w="3245"/>
            <w:vAlign w:val="center"/>
          </w:tcPr>
          <w:p>
            <w:r>
              <w:t>Datos</w:t>
            </w:r>
          </w:p>
        </w:tc>
        <w:tc>
          <w:tcPr>
            <w:tcW w:type="dxa" w:w="3245"/>
            <w:vAlign w:val="center"/>
          </w:tcPr>
          <w:p>
            <w:r>
              <w:t>PostgreSQL en Docker</w:t>
            </w:r>
          </w:p>
        </w:tc>
        <w:tc>
          <w:tcPr>
            <w:tcW w:type="dxa" w:w="3245"/>
            <w:vAlign w:val="center"/>
          </w:tcPr>
          <w:p>
            <w:r>
              <w:t>Persistencia académica y objetos de IA</w:t>
            </w:r>
          </w:p>
        </w:tc>
      </w:tr>
    </w:tbl>
    <w:p>
      <w:pPr>
        <w:pStyle w:val="Heading2"/>
      </w:pPr>
      <w:r>
        <w:t>3.1 Secuencia de interacción del docente</w:t>
      </w:r>
    </w:p>
    <w:p>
      <w:r>
        <w:t>Docente autenticado → formulario de generación → contexto de curso, asignatura y OA → asistente → proveedor → validación de estructura → instrumento en borrador → revisión humana → aprobación. La aprobación extremo a extremo requiere pruebas específicas.</w:t>
      </w:r>
    </w:p>
    <w:p>
      <w:pPr>
        <w:pStyle w:val="Heading2"/>
      </w:pPr>
      <w:r>
        <w:t>3.2 Secuencia RAG objetivo</w:t>
      </w:r>
    </w:p>
    <w:p>
      <w:r>
        <w:t>Usuario → verificación de rol → selección de corpus permitido → embedding de consulta → búsqueda top-k → fragmentos citables → orquestador / proveedor Gemini → respuesta con referencia y reconocimiento de ausencia de evidencia. Es flujo objetivo, no certificación de que esté integrado en la interfaz.</w:t>
      </w:r>
    </w:p>
    <w:p>
      <w:pPr>
        <w:pStyle w:val="Heading1"/>
      </w:pPr>
      <w:r>
        <w:t>4. Estructura del repositorio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67"/>
        <w:gridCol w:w="4867"/>
      </w:tblGrid>
      <w:tr>
        <w:tc>
          <w:tcPr>
            <w:tcW w:type="dxa" w:w="4867"/>
            <w:vAlign w:val="center"/>
          </w:tcPr>
          <w:p>
            <w:r>
              <w:t>Ruta</w:t>
            </w:r>
          </w:p>
        </w:tc>
        <w:tc>
          <w:tcPr>
            <w:tcW w:type="dxa" w:w="4867"/>
            <w:vAlign w:val="center"/>
          </w:tcPr>
          <w:p>
            <w:r>
              <w:t>Uso</w:t>
            </w:r>
          </w:p>
        </w:tc>
      </w:tr>
      <w:tr>
        <w:tc>
          <w:tcPr>
            <w:tcW w:type="dxa" w:w="4867"/>
            <w:vAlign w:val="center"/>
          </w:tcPr>
          <w:p>
            <w:r>
              <w:t>manage.py</w:t>
            </w:r>
          </w:p>
        </w:tc>
        <w:tc>
          <w:tcPr>
            <w:tcW w:type="dxa" w:w="4867"/>
            <w:vAlign w:val="center"/>
          </w:tcPr>
          <w:p>
            <w:r>
              <w:t>Comandos administrativos Django</w:t>
            </w:r>
          </w:p>
        </w:tc>
      </w:tr>
      <w:tr>
        <w:tc>
          <w:tcPr>
            <w:tcW w:type="dxa" w:w="4867"/>
            <w:vAlign w:val="center"/>
          </w:tcPr>
          <w:p>
            <w:r>
              <w:t>config/settings.py; config/urls.py</w:t>
            </w:r>
          </w:p>
        </w:tc>
        <w:tc>
          <w:tcPr>
            <w:tcW w:type="dxa" w:w="4867"/>
            <w:vAlign w:val="center"/>
          </w:tcPr>
          <w:p>
            <w:r>
              <w:t>Entorno, base, rutas</w:t>
            </w:r>
          </w:p>
        </w:tc>
      </w:tr>
      <w:tr>
        <w:tc>
          <w:tcPr>
            <w:tcW w:type="dxa" w:w="4867"/>
            <w:vAlign w:val="center"/>
          </w:tcPr>
          <w:p>
            <w:r>
              <w:t>colegio/models.py; colegio/migrations/</w:t>
            </w:r>
          </w:p>
        </w:tc>
        <w:tc>
          <w:tcPr>
            <w:tcW w:type="dxa" w:w="4867"/>
            <w:vAlign w:val="center"/>
          </w:tcPr>
          <w:p>
            <w:r>
              <w:t>Entidades y esquema</w:t>
            </w:r>
          </w:p>
        </w:tc>
      </w:tr>
      <w:tr>
        <w:tc>
          <w:tcPr>
            <w:tcW w:type="dxa" w:w="4867"/>
            <w:vAlign w:val="center"/>
          </w:tcPr>
          <w:p>
            <w:r>
              <w:t>colegio/views_ia.py</w:t>
            </w:r>
          </w:p>
        </w:tc>
        <w:tc>
          <w:tcPr>
            <w:tcW w:type="dxa" w:w="4867"/>
            <w:vAlign w:val="center"/>
          </w:tcPr>
          <w:p>
            <w:r>
              <w:t>Interacción con asistentes</w:t>
            </w:r>
          </w:p>
        </w:tc>
      </w:tr>
      <w:tr>
        <w:tc>
          <w:tcPr>
            <w:tcW w:type="dxa" w:w="4867"/>
            <w:vAlign w:val="center"/>
          </w:tcPr>
          <w:p>
            <w:r>
              <w:t>colegio/ia/asistentes.py</w:t>
            </w:r>
          </w:p>
        </w:tc>
        <w:tc>
          <w:tcPr>
            <w:tcW w:type="dxa" w:w="4867"/>
            <w:vAlign w:val="center"/>
          </w:tcPr>
          <w:p>
            <w:r>
              <w:t>Lógica de prompts y generación</w:t>
            </w:r>
          </w:p>
        </w:tc>
      </w:tr>
      <w:tr>
        <w:tc>
          <w:tcPr>
            <w:tcW w:type="dxa" w:w="4867"/>
            <w:vAlign w:val="center"/>
          </w:tcPr>
          <w:p>
            <w:r>
              <w:t>colegio/ia/dominio.py</w:t>
            </w:r>
          </w:p>
        </w:tc>
        <w:tc>
          <w:tcPr>
            <w:tcW w:type="dxa" w:w="4867"/>
            <w:vAlign w:val="center"/>
          </w:tcPr>
          <w:p>
            <w:r>
              <w:t>Contexto y datos autorizados</w:t>
            </w:r>
          </w:p>
        </w:tc>
      </w:tr>
      <w:tr>
        <w:tc>
          <w:tcPr>
            <w:tcW w:type="dxa" w:w="4867"/>
            <w:vAlign w:val="center"/>
          </w:tcPr>
          <w:p>
            <w:r>
              <w:t>colegio/ia/proveedor.py</w:t>
            </w:r>
          </w:p>
        </w:tc>
        <w:tc>
          <w:tcPr>
            <w:tcW w:type="dxa" w:w="4867"/>
            <w:vAlign w:val="center"/>
          </w:tcPr>
          <w:p>
            <w:r>
              <w:t>Conexión a Gemini o simulación</w:t>
            </w:r>
          </w:p>
        </w:tc>
      </w:tr>
      <w:tr>
        <w:tc>
          <w:tcPr>
            <w:tcW w:type="dxa" w:w="4867"/>
            <w:vAlign w:val="center"/>
          </w:tcPr>
          <w:p>
            <w:r>
              <w:t>colegio/ia/tutor/</w:t>
            </w:r>
          </w:p>
        </w:tc>
        <w:tc>
          <w:tcPr>
            <w:tcW w:type="dxa" w:w="4867"/>
            <w:vAlign w:val="center"/>
          </w:tcPr>
          <w:p>
            <w:r>
              <w:t>Servicios RAG reportados en avance posterior</w:t>
            </w:r>
          </w:p>
        </w:tc>
      </w:tr>
      <w:tr>
        <w:tc>
          <w:tcPr>
            <w:tcW w:type="dxa" w:w="4867"/>
            <w:vAlign w:val="center"/>
          </w:tcPr>
          <w:p>
            <w:r>
              <w:t>docker-compose.yml</w:t>
            </w:r>
          </w:p>
        </w:tc>
        <w:tc>
          <w:tcPr>
            <w:tcW w:type="dxa" w:w="4867"/>
            <w:vAlign w:val="center"/>
          </w:tcPr>
          <w:p>
            <w:r>
              <w:t>Contenedor PostgreSQL</w:t>
            </w:r>
          </w:p>
        </w:tc>
      </w:tr>
      <w:tr>
        <w:tc>
          <w:tcPr>
            <w:tcW w:type="dxa" w:w="4867"/>
            <w:vAlign w:val="center"/>
          </w:tcPr>
          <w:p>
            <w:r>
              <w:t>.env.example</w:t>
            </w:r>
          </w:p>
        </w:tc>
        <w:tc>
          <w:tcPr>
            <w:tcW w:type="dxa" w:w="4867"/>
            <w:vAlign w:val="center"/>
          </w:tcPr>
          <w:p>
            <w:r>
              <w:t>Valores de referencia sin secretos</w:t>
            </w:r>
          </w:p>
        </w:tc>
      </w:tr>
    </w:tbl>
    <w:p>
      <w:pPr>
        <w:pStyle w:val="Heading1"/>
      </w:pPr>
      <w:r>
        <w:t>5. Requisitos y configuración del ambiente</w:t>
      </w:r>
    </w:p>
    <w:p>
      <w:r>
        <w:t>Ambiente documentado: Windows y PowerShell; Python 3.14.x, Django 6.0.4, google-genai; WSL 2 y Docker Desktop; imagen postgres:17. Verificar siempre versiones instaladas antes de diagnosticar.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67"/>
        <w:gridCol w:w="4867"/>
      </w:tblGrid>
      <w:tr>
        <w:tc>
          <w:tcPr>
            <w:tcW w:type="dxa" w:w="4867"/>
            <w:vAlign w:val="center"/>
          </w:tcPr>
          <w:p>
            <w:r>
              <w:t>Variable</w:t>
            </w:r>
          </w:p>
        </w:tc>
        <w:tc>
          <w:tcPr>
            <w:tcW w:type="dxa" w:w="4867"/>
            <w:vAlign w:val="center"/>
          </w:tcPr>
          <w:p>
            <w:r>
              <w:t>Función</w:t>
            </w:r>
          </w:p>
        </w:tc>
      </w:tr>
      <w:tr>
        <w:tc>
          <w:tcPr>
            <w:tcW w:type="dxa" w:w="4867"/>
            <w:vAlign w:val="center"/>
          </w:tcPr>
          <w:p>
            <w:r>
              <w:t>POSTGRES_DB / USER / PASSWORD</w:t>
            </w:r>
          </w:p>
        </w:tc>
        <w:tc>
          <w:tcPr>
            <w:tcW w:type="dxa" w:w="4867"/>
            <w:vAlign w:val="center"/>
          </w:tcPr>
          <w:p>
            <w:r>
              <w:t>Credenciales de la instancia local</w:t>
            </w:r>
          </w:p>
        </w:tc>
      </w:tr>
      <w:tr>
        <w:tc>
          <w:tcPr>
            <w:tcW w:type="dxa" w:w="4867"/>
            <w:vAlign w:val="center"/>
          </w:tcPr>
          <w:p>
            <w:r>
              <w:t>POSTGRES_HOST=localhost; POSTGRES_PORT=5432</w:t>
            </w:r>
          </w:p>
        </w:tc>
        <w:tc>
          <w:tcPr>
            <w:tcW w:type="dxa" w:w="4867"/>
            <w:vAlign w:val="center"/>
          </w:tcPr>
          <w:p>
            <w:r>
              <w:t>Acceso desde Django en Windows</w:t>
            </w:r>
          </w:p>
        </w:tc>
      </w:tr>
      <w:tr>
        <w:tc>
          <w:tcPr>
            <w:tcW w:type="dxa" w:w="4867"/>
            <w:vAlign w:val="center"/>
          </w:tcPr>
          <w:p>
            <w:r>
              <w:t>DJANGO_DEBUG; DJANGO_ALLOWED_HOSTS</w:t>
            </w:r>
          </w:p>
        </w:tc>
        <w:tc>
          <w:tcPr>
            <w:tcW w:type="dxa" w:w="4867"/>
            <w:vAlign w:val="center"/>
          </w:tcPr>
          <w:p>
            <w:r>
              <w:t>Configuración local de Django</w:t>
            </w:r>
          </w:p>
        </w:tc>
      </w:tr>
      <w:tr>
        <w:tc>
          <w:tcPr>
            <w:tcW w:type="dxa" w:w="4867"/>
            <w:vAlign w:val="center"/>
          </w:tcPr>
          <w:p>
            <w:r>
              <w:t>GEMINI_API_KEY</w:t>
            </w:r>
          </w:p>
        </w:tc>
        <w:tc>
          <w:tcPr>
            <w:tcW w:type="dxa" w:w="4867"/>
            <w:vAlign w:val="center"/>
          </w:tcPr>
          <w:p>
            <w:r>
              <w:t>Acceso al servicio real; nunca incluir valor secreto</w:t>
            </w:r>
          </w:p>
        </w:tc>
      </w:tr>
      <w:tr>
        <w:tc>
          <w:tcPr>
            <w:tcW w:type="dxa" w:w="4867"/>
            <w:vAlign w:val="center"/>
          </w:tcPr>
          <w:p>
            <w:r>
              <w:t>GEMINI_MODEL; GEMINI_MODELOS_RESPALDO</w:t>
            </w:r>
          </w:p>
        </w:tc>
        <w:tc>
          <w:tcPr>
            <w:tcW w:type="dxa" w:w="4867"/>
            <w:vAlign w:val="center"/>
          </w:tcPr>
          <w:p>
            <w:r>
              <w:t>Selección de modelos sujetos a disponibilidad</w:t>
            </w:r>
          </w:p>
        </w:tc>
      </w:tr>
      <w:tr>
        <w:tc>
          <w:tcPr>
            <w:tcW w:type="dxa" w:w="4867"/>
            <w:vAlign w:val="center"/>
          </w:tcPr>
          <w:p>
            <w:r>
              <w:t>IA_PROVEEDOR</w:t>
            </w:r>
          </w:p>
        </w:tc>
        <w:tc>
          <w:tcPr>
            <w:tcW w:type="dxa" w:w="4867"/>
            <w:vAlign w:val="center"/>
          </w:tcPr>
          <w:p>
            <w:r>
              <w:t>Modo Gemini / simulado según settings</w:t>
            </w:r>
          </w:p>
        </w:tc>
      </w:tr>
    </w:tbl>
    <w:p>
      <w:pPr>
        <w:pStyle w:val="Heading1"/>
      </w:pPr>
      <w:r>
        <w:t>6. Instalación y arranque reproducible</w:t>
      </w:r>
    </w:p>
    <w:p>
      <w:pPr>
        <w:pStyle w:val="Heading2"/>
      </w:pPr>
      <w:r>
        <w:t>6.1 Situarse en la carpeta</w:t>
      </w:r>
    </w:p>
    <w:p>
      <w:pPr>
        <w:ind w:left="288"/>
      </w:pPr>
      <w:r>
        <w:rPr>
          <w:rFonts w:ascii="Consolas" w:hAnsi="Consolas"/>
          <w:color w:val="236796"/>
          <w:sz w:val="16"/>
        </w:rPr>
        <w:t>cd "C:\Users\mtand\OneDrive\Documentos\Universidad\CAPSTONE\Proyecto_Sistema_Gestion_Escolar"</w:t>
      </w:r>
    </w:p>
    <w:p>
      <w:pPr>
        <w:pStyle w:val="Heading2"/>
      </w:pPr>
      <w:r>
        <w:t>6.2 Iniciar PostgreSQL</w:t>
      </w:r>
    </w:p>
    <w:p>
      <w:pPr>
        <w:ind w:left="288"/>
      </w:pPr>
      <w:r>
        <w:rPr>
          <w:rFonts w:ascii="Consolas" w:hAnsi="Consolas"/>
          <w:color w:val="236796"/>
          <w:sz w:val="16"/>
        </w:rPr>
        <w:t>docker compose up -d db</w:t>
      </w:r>
    </w:p>
    <w:p>
      <w:pPr>
        <w:ind w:left="288"/>
      </w:pPr>
      <w:r>
        <w:rPr>
          <w:rFonts w:ascii="Consolas" w:hAnsi="Consolas"/>
          <w:color w:val="236796"/>
          <w:sz w:val="16"/>
        </w:rPr>
        <w:t>docker compose ps</w:t>
      </w:r>
    </w:p>
    <w:p>
      <w:pPr>
        <w:pStyle w:val="Heading2"/>
      </w:pPr>
      <w:r>
        <w:t>6.3 Verificar Django y motor</w:t>
      </w:r>
    </w:p>
    <w:p>
      <w:pPr>
        <w:ind w:left="288"/>
      </w:pPr>
      <w:r>
        <w:rPr>
          <w:rFonts w:ascii="Consolas" w:hAnsi="Consolas"/>
          <w:color w:val="236796"/>
          <w:sz w:val="16"/>
        </w:rPr>
        <w:t>.\.venv\Scripts\python.exe -m django --version</w:t>
      </w:r>
    </w:p>
    <w:p>
      <w:pPr>
        <w:ind w:left="288"/>
      </w:pPr>
      <w:r>
        <w:rPr>
          <w:rFonts w:ascii="Consolas" w:hAnsi="Consolas"/>
          <w:color w:val="236796"/>
          <w:sz w:val="16"/>
        </w:rPr>
        <w:t>.\.venv\Scripts\python.exe manage.py check</w:t>
      </w:r>
    </w:p>
    <w:p>
      <w:pPr>
        <w:pStyle w:val="Heading2"/>
      </w:pPr>
      <w:r>
        <w:t>6.4 Aplicar migraciones</w:t>
      </w:r>
    </w:p>
    <w:p>
      <w:pPr>
        <w:ind w:left="288"/>
      </w:pPr>
      <w:r>
        <w:rPr>
          <w:rFonts w:ascii="Consolas" w:hAnsi="Consolas"/>
          <w:color w:val="236796"/>
          <w:sz w:val="16"/>
        </w:rPr>
        <w:t>.\.venv\Scripts\python.exe manage.py migrate</w:t>
      </w:r>
    </w:p>
    <w:p>
      <w:pPr>
        <w:pStyle w:val="Heading2"/>
      </w:pPr>
      <w:r>
        <w:t>6.5 Abrir servidor</w:t>
      </w:r>
    </w:p>
    <w:p>
      <w:pPr>
        <w:ind w:left="288"/>
      </w:pPr>
      <w:r>
        <w:rPr>
          <w:rFonts w:ascii="Consolas" w:hAnsi="Consolas"/>
          <w:color w:val="236796"/>
          <w:sz w:val="16"/>
        </w:rPr>
        <w:t>.\.venv\Scripts\python.exe manage.py runserver</w:t>
      </w:r>
    </w:p>
    <w:p>
      <w:r>
        <w:t>Acceder a http://127.0.0.1:8000/ una vez que runserver confirme disponibilidad. Verificar en settings que se use postgresql y no SQLite. El directorio static puede generar advertencia si no existe.</w:t>
      </w:r>
    </w:p>
    <w:p>
      <w:pPr>
        <w:pStyle w:val="Heading1"/>
      </w:pPr>
      <w:r>
        <w:t>7. Módulos de inteligencia artificial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c>
          <w:tcPr>
            <w:tcW w:type="dxa" w:w="3245"/>
            <w:vAlign w:val="center"/>
          </w:tcPr>
          <w:p>
            <w:r>
              <w:t>Módulo</w:t>
            </w:r>
          </w:p>
        </w:tc>
        <w:tc>
          <w:tcPr>
            <w:tcW w:type="dxa" w:w="3245"/>
            <w:vAlign w:val="center"/>
          </w:tcPr>
          <w:p>
            <w:r>
              <w:t>Funciones / comportamiento</w:t>
            </w:r>
          </w:p>
        </w:tc>
        <w:tc>
          <w:tcPr>
            <w:tcW w:type="dxa" w:w="3245"/>
            <w:vAlign w:val="center"/>
          </w:tcPr>
          <w:p>
            <w:r>
              <w:t>Limitaciones</w:t>
            </w:r>
          </w:p>
        </w:tc>
      </w:tr>
      <w:tr>
        <w:tc>
          <w:tcPr>
            <w:tcW w:type="dxa" w:w="3245"/>
            <w:vAlign w:val="center"/>
          </w:tcPr>
          <w:p>
            <w:r>
              <w:t>Asistente Docente</w:t>
            </w:r>
          </w:p>
        </w:tc>
        <w:tc>
          <w:tcPr>
            <w:tcW w:type="dxa" w:w="3245"/>
            <w:vAlign w:val="center"/>
          </w:tcPr>
          <w:p>
            <w:r>
              <w:t>crear_prueba, crear_rubrica, crear_material, revisar_prueba</w:t>
            </w:r>
          </w:p>
        </w:tc>
        <w:tc>
          <w:tcPr>
            <w:tcW w:type="dxa" w:w="3245"/>
            <w:vAlign w:val="center"/>
          </w:tcPr>
          <w:p>
            <w:r>
              <w:t>Validación pedagógica y aprobaciones requieren pruebas</w:t>
            </w:r>
          </w:p>
        </w:tc>
      </w:tr>
      <w:tr>
        <w:tc>
          <w:tcPr>
            <w:tcW w:type="dxa" w:w="3245"/>
            <w:vAlign w:val="center"/>
          </w:tcPr>
          <w:p>
            <w:r>
              <w:t>Tutor conversacional</w:t>
            </w:r>
          </w:p>
        </w:tc>
        <w:tc>
          <w:tcPr>
            <w:tcW w:type="dxa" w:w="3245"/>
            <w:vAlign w:val="center"/>
          </w:tcPr>
          <w:p>
            <w:r>
              <w:t>responder_tutor usa contexto e historial de 12 mensajes</w:t>
            </w:r>
          </w:p>
        </w:tc>
        <w:tc>
          <w:tcPr>
            <w:tcW w:type="dxa" w:w="3245"/>
            <w:vAlign w:val="center"/>
          </w:tcPr>
          <w:p>
            <w:r>
              <w:t>La versión base no llamaba retriever</w:t>
            </w:r>
          </w:p>
        </w:tc>
      </w:tr>
      <w:tr>
        <w:tc>
          <w:tcPr>
            <w:tcW w:type="dxa" w:w="3245"/>
            <w:vAlign w:val="center"/>
          </w:tcPr>
          <w:p>
            <w:r>
              <w:t>RAG independiente</w:t>
            </w:r>
          </w:p>
        </w:tc>
        <w:tc>
          <w:tcPr>
            <w:tcW w:type="dxa" w:w="3245"/>
            <w:vAlign w:val="center"/>
          </w:tcPr>
          <w:p>
            <w:r>
              <w:t>PDF, chunks, embeddings y búsqueda semántica</w:t>
            </w:r>
          </w:p>
        </w:tc>
        <w:tc>
          <w:tcPr>
            <w:tcW w:type="dxa" w:w="3245"/>
            <w:vAlign w:val="center"/>
          </w:tcPr>
          <w:p>
            <w:r>
              <w:t>Falta integrar la evidencia al flujo web</w:t>
            </w:r>
          </w:p>
        </w:tc>
      </w:tr>
      <w:tr>
        <w:tc>
          <w:tcPr>
            <w:tcW w:type="dxa" w:w="3245"/>
            <w:vAlign w:val="center"/>
          </w:tcPr>
          <w:p>
            <w:r>
              <w:t>Proveedor Gemini</w:t>
            </w:r>
          </w:p>
        </w:tc>
        <w:tc>
          <w:tcPr>
            <w:tcW w:type="dxa" w:w="3245"/>
            <w:vAlign w:val="center"/>
          </w:tcPr>
          <w:p>
            <w:r>
              <w:t>generar; validación JSON; errores 429/500/503</w:t>
            </w:r>
          </w:p>
        </w:tc>
        <w:tc>
          <w:tcPr>
            <w:tcW w:type="dxa" w:w="3245"/>
            <w:vAlign w:val="center"/>
          </w:tcPr>
          <w:p>
            <w:r>
              <w:t>Límites de cuota y red; simulación no valida IA real</w:t>
            </w:r>
          </w:p>
        </w:tc>
      </w:tr>
    </w:tbl>
    <w:p>
      <w:pPr>
        <w:pStyle w:val="Heading1"/>
      </w:pPr>
      <w:r>
        <w:t>8. Indexación documental y RAG</w:t>
      </w:r>
    </w:p>
    <w:p>
      <w:r>
        <w:t>Material de prueba reportado: PDF de matemática de 499 páginas; corpus fragmentado en 626 chunks tras ajuste, embeddings de 768 dimensiones; checkpoint parcial de 420 chunks probado con consulta sobre números enteros. Los valores describen esa corrida concreta, no un requisito fijo del producto.</w:t>
      </w:r>
    </w:p>
    <w:p>
      <w:pPr>
        <w:pStyle w:val="ListBullet"/>
      </w:pPr>
      <w:r>
        <w:t>Mantener metadatos por documento, versión, página, asignatura y nivel.</w:t>
      </w:r>
    </w:p>
    <w:p>
      <w:pPr>
        <w:pStyle w:val="ListBullet"/>
      </w:pPr>
      <w:r>
        <w:t>Guardar checkpoints sin exponer contenido personal y permitir reanudación tras errores 429/503.</w:t>
      </w:r>
    </w:p>
    <w:p>
      <w:pPr>
        <w:pStyle w:val="ListBullet"/>
      </w:pPr>
      <w:r>
        <w:t>Validar similitud con preguntas que no reproduzcan literalmente un fragmento indexado.</w:t>
      </w:r>
    </w:p>
    <w:p>
      <w:pPr>
        <w:pStyle w:val="ListBullet"/>
      </w:pPr>
      <w:r>
        <w:t>Exigir referencias verificables en la respuesta y una salida segura cuando no exista evidencia.</w:t>
      </w:r>
    </w:p>
    <w:p>
      <w:pPr>
        <w:pStyle w:val="ListBullet"/>
      </w:pPr>
      <w:r>
        <w:t>Usar documentos aprobados; limitar acceso al corpus antes de llamar al proveedor.</w:t>
      </w:r>
    </w:p>
    <w:p>
      <w:pPr>
        <w:pStyle w:val="Heading1"/>
      </w:pPr>
      <w:r>
        <w:t>9. Seguridad y calidad</w:t>
      </w:r>
    </w:p>
    <w:p>
      <w:pPr>
        <w:pStyle w:val="ListBullet"/>
      </w:pPr>
      <w:r>
        <w:t>No versionar .env ni claves; usar .env.example con valores ficticios.</w:t>
      </w:r>
    </w:p>
    <w:p>
      <w:pPr>
        <w:pStyle w:val="ListBullet"/>
      </w:pPr>
      <w:r>
        <w:t>Verificar el control de permisos por rol y propiedad de los registros.</w:t>
      </w:r>
    </w:p>
    <w:p>
      <w:pPr>
        <w:pStyle w:val="ListBullet"/>
      </w:pPr>
      <w:r>
        <w:t>No enviar información personal de menores a Gemini sin anonimización comprobada.</w:t>
      </w:r>
    </w:p>
    <w:p>
      <w:pPr>
        <w:pStyle w:val="ListBullet"/>
      </w:pPr>
      <w:r>
        <w:t>Separar instrucciones de sistema y texto recuperado, mitigando prompt injection.</w:t>
      </w:r>
    </w:p>
    <w:p>
      <w:pPr>
        <w:pStyle w:val="ListBullet"/>
      </w:pPr>
      <w:r>
        <w:t>Controlar exactitud numérica a través del backend, no pedir al LLM que invente notas.</w:t>
      </w:r>
    </w:p>
    <w:p>
      <w:pPr>
        <w:pStyle w:val="ListBullet"/>
      </w:pPr>
      <w:r>
        <w:t>Registrar evidencias de cada historia HU mediante escenario, resultado, fecha y responsable.</w:t>
      </w:r>
    </w:p>
    <w:p>
      <w:pPr>
        <w:pStyle w:val="Heading1"/>
      </w:pPr>
      <w:r>
        <w:t>10. Pruebas y criterios de aceptación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c>
          <w:tcPr>
            <w:tcW w:type="dxa" w:w="3245"/>
            <w:vAlign w:val="center"/>
          </w:tcPr>
          <w:p>
            <w:r>
              <w:t>Prueba</w:t>
            </w:r>
          </w:p>
        </w:tc>
        <w:tc>
          <w:tcPr>
            <w:tcW w:type="dxa" w:w="3245"/>
            <w:vAlign w:val="center"/>
          </w:tcPr>
          <w:p>
            <w:r>
              <w:t>Procedimiento</w:t>
            </w:r>
          </w:p>
        </w:tc>
        <w:tc>
          <w:tcPr>
            <w:tcW w:type="dxa" w:w="3245"/>
            <w:vAlign w:val="center"/>
          </w:tcPr>
          <w:p>
            <w:r>
              <w:t>Salida esperada</w:t>
            </w:r>
          </w:p>
        </w:tc>
      </w:tr>
      <w:tr>
        <w:tc>
          <w:tcPr>
            <w:tcW w:type="dxa" w:w="3245"/>
            <w:vAlign w:val="center"/>
          </w:tcPr>
          <w:p>
            <w:r>
              <w:t>Infraestructura</w:t>
            </w:r>
          </w:p>
        </w:tc>
        <w:tc>
          <w:tcPr>
            <w:tcW w:type="dxa" w:w="3245"/>
            <w:vAlign w:val="center"/>
          </w:tcPr>
          <w:p>
            <w:r>
              <w:t>docker compose ps; manage.py check; migrate</w:t>
            </w:r>
          </w:p>
        </w:tc>
        <w:tc>
          <w:tcPr>
            <w:tcW w:type="dxa" w:w="3245"/>
            <w:vAlign w:val="center"/>
          </w:tcPr>
          <w:p>
            <w:r>
              <w:t>DB healthy; sin error crítico; migración aplicada</w:t>
            </w:r>
          </w:p>
        </w:tc>
      </w:tr>
      <w:tr>
        <w:tc>
          <w:tcPr>
            <w:tcW w:type="dxa" w:w="3245"/>
            <w:vAlign w:val="center"/>
          </w:tcPr>
          <w:p>
            <w:r>
              <w:t>Permisos</w:t>
            </w:r>
          </w:p>
        </w:tc>
        <w:tc>
          <w:tcPr>
            <w:tcW w:type="dxa" w:w="3245"/>
            <w:vAlign w:val="center"/>
          </w:tcPr>
          <w:p>
            <w:r>
              <w:t>Acceder a funcionalidades de otra cuenta</w:t>
            </w:r>
          </w:p>
        </w:tc>
        <w:tc>
          <w:tcPr>
            <w:tcW w:type="dxa" w:w="3245"/>
            <w:vAlign w:val="center"/>
          </w:tcPr>
          <w:p>
            <w:r>
              <w:t>Denegación de acceso</w:t>
            </w:r>
          </w:p>
        </w:tc>
      </w:tr>
      <w:tr>
        <w:tc>
          <w:tcPr>
            <w:tcW w:type="dxa" w:w="3245"/>
            <w:vAlign w:val="center"/>
          </w:tcPr>
          <w:p>
            <w:r>
              <w:t>Generación de prueba</w:t>
            </w:r>
          </w:p>
        </w:tc>
        <w:tc>
          <w:tcPr>
            <w:tcW w:type="dxa" w:w="3245"/>
            <w:vAlign w:val="center"/>
          </w:tcPr>
          <w:p>
            <w:r>
              <w:t>Docente solicita OA, nivel y preguntas</w:t>
            </w:r>
          </w:p>
        </w:tc>
        <w:tc>
          <w:tcPr>
            <w:tcW w:type="dxa" w:w="3245"/>
            <w:vAlign w:val="center"/>
          </w:tcPr>
          <w:p>
            <w:r>
              <w:t>Borrador editable, consistente con solicitud</w:t>
            </w:r>
          </w:p>
        </w:tc>
      </w:tr>
      <w:tr>
        <w:tc>
          <w:tcPr>
            <w:tcW w:type="dxa" w:w="3245"/>
            <w:vAlign w:val="center"/>
          </w:tcPr>
          <w:p>
            <w:r>
              <w:t>RAG</w:t>
            </w:r>
          </w:p>
        </w:tc>
        <w:tc>
          <w:tcPr>
            <w:tcW w:type="dxa" w:w="3245"/>
            <w:vAlign w:val="center"/>
          </w:tcPr>
          <w:p>
            <w:r>
              <w:t>Preguntar concepto del PDF y examinar top-k</w:t>
            </w:r>
          </w:p>
        </w:tc>
        <w:tc>
          <w:tcPr>
            <w:tcW w:type="dxa" w:w="3245"/>
            <w:vAlign w:val="center"/>
          </w:tcPr>
          <w:p>
            <w:r>
              <w:t>Fuente y página relevantes</w:t>
            </w:r>
          </w:p>
        </w:tc>
      </w:tr>
      <w:tr>
        <w:tc>
          <w:tcPr>
            <w:tcW w:type="dxa" w:w="3245"/>
            <w:vAlign w:val="center"/>
          </w:tcPr>
          <w:p>
            <w:r>
              <w:t>Sin evidencia</w:t>
            </w:r>
          </w:p>
        </w:tc>
        <w:tc>
          <w:tcPr>
            <w:tcW w:type="dxa" w:w="3245"/>
            <w:vAlign w:val="center"/>
          </w:tcPr>
          <w:p>
            <w:r>
              <w:t>Consultar contenido fuera del corpus</w:t>
            </w:r>
          </w:p>
        </w:tc>
        <w:tc>
          <w:tcPr>
            <w:tcW w:type="dxa" w:w="3245"/>
            <w:vAlign w:val="center"/>
          </w:tcPr>
          <w:p>
            <w:r>
              <w:t>Reconocimiento explícito de no disponibilidad</w:t>
            </w:r>
          </w:p>
        </w:tc>
      </w:tr>
      <w:tr>
        <w:tc>
          <w:tcPr>
            <w:tcW w:type="dxa" w:w="3245"/>
            <w:vAlign w:val="center"/>
          </w:tcPr>
          <w:p>
            <w:r>
              <w:t>Gemini 429/503</w:t>
            </w:r>
          </w:p>
        </w:tc>
        <w:tc>
          <w:tcPr>
            <w:tcW w:type="dxa" w:w="3245"/>
            <w:vAlign w:val="center"/>
          </w:tcPr>
          <w:p>
            <w:r>
              <w:t>Simular cuota o revisar error real</w:t>
            </w:r>
          </w:p>
        </w:tc>
        <w:tc>
          <w:tcPr>
            <w:tcW w:type="dxa" w:w="3245"/>
            <w:vAlign w:val="center"/>
          </w:tcPr>
          <w:p>
            <w:r>
              <w:t>Error controlado; reintentos acotados</w:t>
            </w:r>
          </w:p>
        </w:tc>
      </w:tr>
      <w:tr>
        <w:tc>
          <w:tcPr>
            <w:tcW w:type="dxa" w:w="3245"/>
            <w:vAlign w:val="center"/>
          </w:tcPr>
          <w:p>
            <w:r>
              <w:t>Datos sensibles</w:t>
            </w:r>
          </w:p>
        </w:tc>
        <w:tc>
          <w:tcPr>
            <w:tcW w:type="dxa" w:w="3245"/>
            <w:vAlign w:val="center"/>
          </w:tcPr>
          <w:p>
            <w:r>
              <w:t>Inyectar datos ficticios y verificar payload</w:t>
            </w:r>
          </w:p>
        </w:tc>
        <w:tc>
          <w:tcPr>
            <w:tcW w:type="dxa" w:w="3245"/>
            <w:vAlign w:val="center"/>
          </w:tcPr>
          <w:p>
            <w:r>
              <w:t>No se transmiten PII reales</w:t>
            </w:r>
          </w:p>
        </w:tc>
      </w:tr>
    </w:tbl>
    <w:p>
      <w:pPr>
        <w:pStyle w:val="Heading1"/>
      </w:pPr>
      <w:r>
        <w:t>11. Operación, mantenimiento e incidencias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c>
          <w:tcPr>
            <w:tcW w:type="dxa" w:w="3245"/>
            <w:vAlign w:val="center"/>
          </w:tcPr>
          <w:p>
            <w:r>
              <w:t>Síntoma</w:t>
            </w:r>
          </w:p>
        </w:tc>
        <w:tc>
          <w:tcPr>
            <w:tcW w:type="dxa" w:w="3245"/>
            <w:vAlign w:val="center"/>
          </w:tcPr>
          <w:p>
            <w:r>
              <w:t>Diagnóstico</w:t>
            </w:r>
          </w:p>
        </w:tc>
        <w:tc>
          <w:tcPr>
            <w:tcW w:type="dxa" w:w="3245"/>
            <w:vAlign w:val="center"/>
          </w:tcPr>
          <w:p>
            <w:r>
              <w:t>Acción</w:t>
            </w:r>
          </w:p>
        </w:tc>
      </w:tr>
      <w:tr>
        <w:tc>
          <w:tcPr>
            <w:tcW w:type="dxa" w:w="3245"/>
            <w:vAlign w:val="center"/>
          </w:tcPr>
          <w:p>
            <w:r>
              <w:t>Docker no inicia</w:t>
            </w:r>
          </w:p>
        </w:tc>
        <w:tc>
          <w:tcPr>
            <w:tcW w:type="dxa" w:w="3245"/>
            <w:vAlign w:val="center"/>
          </w:tcPr>
          <w:p>
            <w:r>
              <w:t>WSL / Docker Engine</w:t>
            </w:r>
          </w:p>
        </w:tc>
        <w:tc>
          <w:tcPr>
            <w:tcW w:type="dxa" w:w="3245"/>
            <w:vAlign w:val="center"/>
          </w:tcPr>
          <w:p>
            <w:r>
              <w:t>docker version; revisar Desktop</w:t>
            </w:r>
          </w:p>
        </w:tc>
      </w:tr>
      <w:tr>
        <w:tc>
          <w:tcPr>
            <w:tcW w:type="dxa" w:w="3245"/>
            <w:vAlign w:val="center"/>
          </w:tcPr>
          <w:p>
            <w:r>
              <w:t>DB rechaza conexión</w:t>
            </w:r>
          </w:p>
        </w:tc>
        <w:tc>
          <w:tcPr>
            <w:tcW w:type="dxa" w:w="3245"/>
            <w:vAlign w:val="center"/>
          </w:tcPr>
          <w:p>
            <w:r>
              <w:t>Puerto, healthy y credenciales</w:t>
            </w:r>
          </w:p>
        </w:tc>
        <w:tc>
          <w:tcPr>
            <w:tcW w:type="dxa" w:w="3245"/>
            <w:vAlign w:val="center"/>
          </w:tcPr>
          <w:p>
            <w:r>
              <w:t>docker compose ps; logs --tail 50 db</w:t>
            </w:r>
          </w:p>
        </w:tc>
      </w:tr>
      <w:tr>
        <w:tc>
          <w:tcPr>
            <w:tcW w:type="dxa" w:w="3245"/>
            <w:vAlign w:val="center"/>
          </w:tcPr>
          <w:p>
            <w:r>
              <w:t>Django conecta a SQLite</w:t>
            </w:r>
          </w:p>
        </w:tc>
        <w:tc>
          <w:tcPr>
            <w:tcW w:type="dxa" w:w="3245"/>
            <w:vAlign w:val="center"/>
          </w:tcPr>
          <w:p>
            <w:r>
              <w:t>POSTGRES_DB / dotenv</w:t>
            </w:r>
          </w:p>
        </w:tc>
        <w:tc>
          <w:tcPr>
            <w:tcW w:type="dxa" w:w="3245"/>
            <w:vAlign w:val="center"/>
          </w:tcPr>
          <w:p>
            <w:r>
              <w:t>Verificar settings efectivo</w:t>
            </w:r>
          </w:p>
        </w:tc>
      </w:tr>
      <w:tr>
        <w:tc>
          <w:tcPr>
            <w:tcW w:type="dxa" w:w="3245"/>
            <w:vAlign w:val="center"/>
          </w:tcPr>
          <w:p>
            <w:r>
              <w:t>Error 429</w:t>
            </w:r>
          </w:p>
        </w:tc>
        <w:tc>
          <w:tcPr>
            <w:tcW w:type="dxa" w:w="3245"/>
            <w:vAlign w:val="center"/>
          </w:tcPr>
          <w:p>
            <w:r>
              <w:t>Cuota Gemini</w:t>
            </w:r>
          </w:p>
        </w:tc>
        <w:tc>
          <w:tcPr>
            <w:tcW w:type="dxa" w:w="3245"/>
            <w:vAlign w:val="center"/>
          </w:tcPr>
          <w:p>
            <w:r>
              <w:t>Respetar cuota; checkpoints; reanudar</w:t>
            </w:r>
          </w:p>
        </w:tc>
      </w:tr>
      <w:tr>
        <w:tc>
          <w:tcPr>
            <w:tcW w:type="dxa" w:w="3245"/>
            <w:vAlign w:val="center"/>
          </w:tcPr>
          <w:p>
            <w:r>
              <w:t>Warning staticfiles</w:t>
            </w:r>
          </w:p>
        </w:tc>
        <w:tc>
          <w:tcPr>
            <w:tcW w:type="dxa" w:w="3245"/>
            <w:vAlign w:val="center"/>
          </w:tcPr>
          <w:p>
            <w:r>
              <w:t>Directorio static ausente</w:t>
            </w:r>
          </w:p>
        </w:tc>
        <w:tc>
          <w:tcPr>
            <w:tcW w:type="dxa" w:w="3245"/>
            <w:vAlign w:val="center"/>
          </w:tcPr>
          <w:p>
            <w:r>
              <w:t>Verificar configuración y crear si corresponde</w:t>
            </w:r>
          </w:p>
        </w:tc>
      </w:tr>
      <w:tr>
        <w:tc>
          <w:tcPr>
            <w:tcW w:type="dxa" w:w="3245"/>
            <w:vAlign w:val="center"/>
          </w:tcPr>
          <w:p>
            <w:r>
              <w:t>Falla de encoding</w:t>
            </w:r>
          </w:p>
        </w:tc>
        <w:tc>
          <w:tcPr>
            <w:tcW w:type="dxa" w:w="3245"/>
            <w:vAlign w:val="center"/>
          </w:tcPr>
          <w:p>
            <w:r>
              <w:t>Terminal o archivo UTF-8</w:t>
            </w:r>
          </w:p>
        </w:tc>
        <w:tc>
          <w:tcPr>
            <w:tcW w:type="dxa" w:w="3245"/>
            <w:vAlign w:val="center"/>
          </w:tcPr>
          <w:p>
            <w:r>
              <w:t>Inspeccionar origen, no alterar a ciegas</w:t>
            </w:r>
          </w:p>
        </w:tc>
      </w:tr>
    </w:tbl>
    <w:p>
      <w:pPr>
        <w:ind w:left="288"/>
      </w:pPr>
      <w:r>
        <w:rPr>
          <w:rFonts w:ascii="Consolas" w:hAnsi="Consolas"/>
          <w:color w:val="236796"/>
          <w:sz w:val="16"/>
        </w:rPr>
        <w:t>docker compose logs --tail 50 db</w:t>
      </w:r>
    </w:p>
    <w:p>
      <w:pPr>
        <w:ind w:left="288"/>
      </w:pPr>
      <w:r>
        <w:rPr>
          <w:rFonts w:ascii="Consolas" w:hAnsi="Consolas"/>
          <w:color w:val="236796"/>
          <w:sz w:val="16"/>
        </w:rPr>
        <w:t>git status</w:t>
      </w:r>
    </w:p>
    <w:p>
      <w:pPr>
        <w:ind w:left="288"/>
      </w:pPr>
      <w:r>
        <w:rPr>
          <w:rFonts w:ascii="Consolas" w:hAnsi="Consolas"/>
          <w:color w:val="236796"/>
          <w:sz w:val="16"/>
        </w:rPr>
        <w:t>git log --oneline -10</w:t>
      </w:r>
    </w:p>
    <w:p>
      <w:r>
        <w:t>Precaución: evitar «docker compose down -v» porque puede destruir el volumen persistente. El modo simulado no debe reportarse como validación de la calidad de Gemini.</w:t>
      </w:r>
    </w:p>
    <w:p>
      <w:pPr>
        <w:pStyle w:val="Heading1"/>
      </w:pPr>
      <w:r>
        <w:t>12. Control de cambios y pendientes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c>
          <w:tcPr>
            <w:tcW w:type="dxa" w:w="3245"/>
            <w:vAlign w:val="center"/>
          </w:tcPr>
          <w:p>
            <w:r>
              <w:t>Prioridad</w:t>
            </w:r>
          </w:p>
        </w:tc>
        <w:tc>
          <w:tcPr>
            <w:tcW w:type="dxa" w:w="3245"/>
            <w:vAlign w:val="center"/>
          </w:tcPr>
          <w:p>
            <w:r>
              <w:t>Pendiente</w:t>
            </w:r>
          </w:p>
        </w:tc>
        <w:tc>
          <w:tcPr>
            <w:tcW w:type="dxa" w:w="3245"/>
            <w:vAlign w:val="center"/>
          </w:tcPr>
          <w:p>
            <w:r>
              <w:t>Evidencia de cierre</w:t>
            </w:r>
          </w:p>
        </w:tc>
      </w:tr>
      <w:tr>
        <w:tc>
          <w:tcPr>
            <w:tcW w:type="dxa" w:w="3245"/>
            <w:vAlign w:val="center"/>
          </w:tcPr>
          <w:p>
            <w:r>
              <w:t>Alta</w:t>
            </w:r>
          </w:p>
        </w:tc>
        <w:tc>
          <w:tcPr>
            <w:tcW w:type="dxa" w:w="3245"/>
            <w:vAlign w:val="center"/>
          </w:tcPr>
          <w:p>
            <w:r>
              <w:t>Integrar retriever con orquestador y tutor en interfaz</w:t>
            </w:r>
          </w:p>
        </w:tc>
        <w:tc>
          <w:tcPr>
            <w:tcW w:type="dxa" w:w="3245"/>
            <w:vAlign w:val="center"/>
          </w:tcPr>
          <w:p>
            <w:r>
              <w:t>Pregunta → retrieval → respuesta con fuente en navegador</w:t>
            </w:r>
          </w:p>
        </w:tc>
      </w:tr>
      <w:tr>
        <w:tc>
          <w:tcPr>
            <w:tcW w:type="dxa" w:w="3245"/>
            <w:vAlign w:val="center"/>
          </w:tcPr>
          <w:p>
            <w:r>
              <w:t>Alta</w:t>
            </w:r>
          </w:p>
        </w:tc>
        <w:tc>
          <w:tcPr>
            <w:tcW w:type="dxa" w:w="3245"/>
            <w:vAlign w:val="center"/>
          </w:tcPr>
          <w:p>
            <w:r>
              <w:t>Completar autorización, anonimización y control de acceso</w:t>
            </w:r>
          </w:p>
        </w:tc>
        <w:tc>
          <w:tcPr>
            <w:tcW w:type="dxa" w:w="3245"/>
            <w:vAlign w:val="center"/>
          </w:tcPr>
          <w:p>
            <w:r>
              <w:t>Pruebas funcionales y de seguridad aprobadas</w:t>
            </w:r>
          </w:p>
        </w:tc>
      </w:tr>
      <w:tr>
        <w:tc>
          <w:tcPr>
            <w:tcW w:type="dxa" w:w="3245"/>
            <w:vAlign w:val="center"/>
          </w:tcPr>
          <w:p>
            <w:r>
              <w:t>Alta</w:t>
            </w:r>
          </w:p>
        </w:tc>
        <w:tc>
          <w:tcPr>
            <w:tcW w:type="dxa" w:w="3245"/>
            <w:vAlign w:val="center"/>
          </w:tcPr>
          <w:p>
            <w:r>
              <w:t>Registrar dependencias versionadas</w:t>
            </w:r>
          </w:p>
        </w:tc>
        <w:tc>
          <w:tcPr>
            <w:tcW w:type="dxa" w:w="3245"/>
            <w:vAlign w:val="center"/>
          </w:tcPr>
          <w:p>
            <w:r>
              <w:t>requirements.txt revisado y reproducible</w:t>
            </w:r>
          </w:p>
        </w:tc>
      </w:tr>
      <w:tr>
        <w:tc>
          <w:tcPr>
            <w:tcW w:type="dxa" w:w="3245"/>
            <w:vAlign w:val="center"/>
          </w:tcPr>
          <w:p>
            <w:r>
              <w:t>Media</w:t>
            </w:r>
          </w:p>
        </w:tc>
        <w:tc>
          <w:tcPr>
            <w:tcW w:type="dxa" w:w="3245"/>
            <w:vAlign w:val="center"/>
          </w:tcPr>
          <w:p>
            <w:r>
              <w:t>Generación docente y proceso de aprobación</w:t>
            </w:r>
          </w:p>
        </w:tc>
        <w:tc>
          <w:tcPr>
            <w:tcW w:type="dxa" w:w="3245"/>
            <w:vAlign w:val="center"/>
          </w:tcPr>
          <w:p>
            <w:r>
              <w:t>Demostración con docente y guardado de cambios</w:t>
            </w:r>
          </w:p>
        </w:tc>
      </w:tr>
      <w:tr>
        <w:tc>
          <w:tcPr>
            <w:tcW w:type="dxa" w:w="3245"/>
            <w:vAlign w:val="center"/>
          </w:tcPr>
          <w:p>
            <w:r>
              <w:t>Media</w:t>
            </w:r>
          </w:p>
        </w:tc>
        <w:tc>
          <w:tcPr>
            <w:tcW w:type="dxa" w:w="3245"/>
            <w:vAlign w:val="center"/>
          </w:tcPr>
          <w:p>
            <w:r>
              <w:t>Panel de indicadores y bitácora</w:t>
            </w:r>
          </w:p>
        </w:tc>
        <w:tc>
          <w:tcPr>
            <w:tcW w:type="dxa" w:w="3245"/>
            <w:vAlign w:val="center"/>
          </w:tcPr>
          <w:p>
            <w:r>
              <w:t>Métricas verificables y registro de ejecución</w:t>
            </w:r>
          </w:p>
        </w:tc>
      </w:tr>
    </w:tbl>
    <w:p>
      <w:pPr>
        <w:pStyle w:val="Heading1"/>
      </w:pPr>
      <w:r>
        <w:t>Anexo A. Referencias y trazabilidad</w:t>
      </w:r>
    </w:p>
    <w:p>
      <w:r>
        <w:t>Fuente principal: «Guía del estado actual de EduGestor», v1, corte 07-10-2026, 16 páginas. Secciones utilizadas: estado, arquitectura, Docker, configuración, asistentes, proveedor, operación y anexos. Los avances posteriores se identifican expresamente como reportados.</w:t>
      </w:r>
    </w:p>
    <w:p>
      <w:r>
        <w:t>Registro recomendado por cambio: fecha, rama/commit, historia HU, archivos modificados, motivo, pruebas, evidencias y responsable. Estándares de organización utilizados como referencia editorial: estructura tipo ISO/IEC/IEEE 26514 (documentación de usuario), IEEE 1016 (descripción de diseño) y prácticas de README/runbook/ADR; no se declara conformidad certificada.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53" w:bottom="1080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DOC-TEC  •  v2.0  |  13-10-2026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236796"/>
      </w:rPr>
      <w:t>EDUGESTOR  /  DOCUMENTACIÓN CONTROLADA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35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835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8355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b/>
      <w:color w:val="18355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