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de uso de EduGestor</w:t>
      </w:r>
    </w:p>
    <w:p>
      <w:pPr>
        <w:pStyle w:val="Subtitle"/>
      </w:pPr>
      <w:r>
        <w:t>Guía de operación para usuarios y demostración del sistema</w:t>
      </w:r>
    </w:p>
    <w:p>
      <w:r>
        <w:t>EDUGESTOR / INNOVAGESTOR    •    DOCUMENTO DE PROYECTO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  <w:vAlign w:val="center"/>
          </w:tcPr>
          <w:p>
            <w:r>
              <w:t>Control</w:t>
            </w:r>
          </w:p>
        </w:tc>
        <w:tc>
          <w:tcPr>
            <w:tcW w:type="dxa" w:w="4867"/>
            <w:vAlign w:val="center"/>
          </w:tcPr>
          <w:p>
            <w:r>
              <w:t>Detalle</w:t>
            </w:r>
          </w:p>
        </w:tc>
      </w:tr>
      <w:tr>
        <w:tc>
          <w:tcPr>
            <w:tcW w:type="dxa" w:w="4867"/>
            <w:vAlign w:val="center"/>
          </w:tcPr>
          <w:p>
            <w:r>
              <w:t>Código</w:t>
            </w:r>
          </w:p>
        </w:tc>
        <w:tc>
          <w:tcPr>
            <w:tcW w:type="dxa" w:w="4867"/>
            <w:vAlign w:val="center"/>
          </w:tcPr>
          <w:p>
            <w:r>
              <w:t>MAN-USR</w:t>
            </w:r>
          </w:p>
        </w:tc>
      </w:tr>
      <w:tr>
        <w:tc>
          <w:tcPr>
            <w:tcW w:type="dxa" w:w="4867"/>
            <w:vAlign w:val="center"/>
          </w:tcPr>
          <w:p>
            <w:r>
              <w:t>Versión</w:t>
            </w:r>
          </w:p>
        </w:tc>
        <w:tc>
          <w:tcPr>
            <w:tcW w:type="dxa" w:w="4867"/>
            <w:vAlign w:val="center"/>
          </w:tcPr>
          <w:p>
            <w:r>
              <w:t>2.0 · Edición documental</w:t>
            </w:r>
          </w:p>
        </w:tc>
      </w:tr>
      <w:tr>
        <w:tc>
          <w:tcPr>
            <w:tcW w:type="dxa" w:w="4867"/>
            <w:vAlign w:val="center"/>
          </w:tcPr>
          <w:p>
            <w:r>
              <w:t>Fecha de edición</w:t>
            </w:r>
          </w:p>
        </w:tc>
        <w:tc>
          <w:tcPr>
            <w:tcW w:type="dxa" w:w="4867"/>
            <w:vAlign w:val="center"/>
          </w:tcPr>
          <w:p>
            <w:r>
              <w:t>13 de octubre de 2026</w:t>
            </w:r>
          </w:p>
        </w:tc>
      </w:tr>
      <w:tr>
        <w:tc>
          <w:tcPr>
            <w:tcW w:type="dxa" w:w="4867"/>
            <w:vAlign w:val="center"/>
          </w:tcPr>
          <w:p>
            <w:r>
              <w:t>Base documental</w:t>
            </w:r>
          </w:p>
        </w:tc>
        <w:tc>
          <w:tcPr>
            <w:tcW w:type="dxa" w:w="4867"/>
            <w:vAlign w:val="center"/>
          </w:tcPr>
          <w:p>
            <w:r>
              <w:t>Guía de estado actual, versión 1 (corte 07-10-2026)</w:t>
            </w:r>
          </w:p>
        </w:tc>
      </w:tr>
      <w:tr>
        <w:tc>
          <w:tcPr>
            <w:tcW w:type="dxa" w:w="4867"/>
            <w:vAlign w:val="center"/>
          </w:tcPr>
          <w:p>
            <w:r>
              <w:t>Estado</w:t>
            </w:r>
          </w:p>
        </w:tc>
        <w:tc>
          <w:tcPr>
            <w:tcW w:type="dxa" w:w="4867"/>
            <w:vAlign w:val="center"/>
          </w:tcPr>
          <w:p>
            <w:r>
              <w:t>Borrador para revisión del equipo</w:t>
            </w:r>
          </w:p>
        </w:tc>
      </w:tr>
      <w:tr>
        <w:tc>
          <w:tcPr>
            <w:tcW w:type="dxa" w:w="4867"/>
            <w:vAlign w:val="center"/>
          </w:tcPr>
          <w:p>
            <w:r>
              <w:t>Audiencia</w:t>
            </w:r>
          </w:p>
        </w:tc>
        <w:tc>
          <w:tcPr>
            <w:tcW w:type="dxa" w:w="4867"/>
            <w:vAlign w:val="center"/>
          </w:tcPr>
          <w:p>
            <w:r>
              <w:t>Equipo de demostración, docentes y soporte</w:t>
            </w:r>
          </w:p>
        </w:tc>
      </w:tr>
    </w:tbl>
    <w:p>
      <w:r>
        <w:br w:type="page"/>
      </w:r>
    </w:p>
    <w:p>
      <w:pPr>
        <w:pStyle w:val="Heading1"/>
      </w:pPr>
      <w:r>
        <w:t>1. Acerca del manual</w:t>
      </w:r>
    </w:p>
    <w:p>
      <w:r>
        <w:t>Este manual explica cómo acceder, navegar y probar las funciones escolares y los asistentes IA descritos en el material técnico. Es una guía de uso preliminar: las rutas exactas y varias funciones deben validarse con el sistema abierto. No se ofrecen pantallas ni botones que no se hayan confirmado.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  <w:vAlign w:val="center"/>
          </w:tcPr>
          <w:p>
            <w:r>
              <w:t>Perfil</w:t>
            </w:r>
          </w:p>
        </w:tc>
        <w:tc>
          <w:tcPr>
            <w:tcW w:type="dxa" w:w="4867"/>
            <w:vAlign w:val="center"/>
          </w:tcPr>
          <w:p>
            <w:r>
              <w:t>Funciones previstas</w:t>
            </w:r>
          </w:p>
        </w:tc>
      </w:tr>
      <w:tr>
        <w:tc>
          <w:tcPr>
            <w:tcW w:type="dxa" w:w="4867"/>
            <w:vAlign w:val="center"/>
          </w:tcPr>
          <w:p>
            <w:r>
              <w:t>Docente</w:t>
            </w:r>
          </w:p>
        </w:tc>
        <w:tc>
          <w:tcPr>
            <w:tcW w:type="dxa" w:w="4867"/>
            <w:vAlign w:val="center"/>
          </w:tcPr>
          <w:p>
            <w:r>
              <w:t>Crear borradores de evaluaciones y rúbricas, revisar y aprobar contenido</w:t>
            </w:r>
          </w:p>
        </w:tc>
      </w:tr>
      <w:tr>
        <w:tc>
          <w:tcPr>
            <w:tcW w:type="dxa" w:w="4867"/>
            <w:vAlign w:val="center"/>
          </w:tcPr>
          <w:p>
            <w:r>
              <w:t>Estudiante</w:t>
            </w:r>
          </w:p>
        </w:tc>
        <w:tc>
          <w:tcPr>
            <w:tcW w:type="dxa" w:w="4867"/>
            <w:vAlign w:val="center"/>
          </w:tcPr>
          <w:p>
            <w:r>
              <w:t>Consultar al tutor escolar por asignatura y nivel</w:t>
            </w:r>
          </w:p>
        </w:tc>
      </w:tr>
      <w:tr>
        <w:tc>
          <w:tcPr>
            <w:tcW w:type="dxa" w:w="4867"/>
            <w:vAlign w:val="center"/>
          </w:tcPr>
          <w:p>
            <w:r>
              <w:t>Administrador / equipo técnico</w:t>
            </w:r>
          </w:p>
        </w:tc>
        <w:tc>
          <w:tcPr>
            <w:tcW w:type="dxa" w:w="4867"/>
            <w:vAlign w:val="center"/>
          </w:tcPr>
          <w:p>
            <w:r>
              <w:t>Iniciar servicios, revisar acceso, configuración y estado</w:t>
            </w:r>
          </w:p>
        </w:tc>
      </w:tr>
      <w:tr>
        <w:tc>
          <w:tcPr>
            <w:tcW w:type="dxa" w:w="4867"/>
            <w:vAlign w:val="center"/>
          </w:tcPr>
          <w:p>
            <w:r>
              <w:t>Otros perfiles</w:t>
            </w:r>
          </w:p>
        </w:tc>
        <w:tc>
          <w:tcPr>
            <w:tcW w:type="dxa" w:w="4867"/>
            <w:vAlign w:val="center"/>
          </w:tcPr>
          <w:p>
            <w:r>
              <w:t>Dependen de permisos, datos demo y rutas efectivamente implementadas</w:t>
            </w:r>
          </w:p>
        </w:tc>
      </w:tr>
    </w:tbl>
    <w:p>
      <w:pPr>
        <w:pStyle w:val="Heading1"/>
      </w:pPr>
      <w:r>
        <w:t>2. Antes de comenzar</w:t>
      </w:r>
    </w:p>
    <w:p>
      <w:pPr>
        <w:pStyle w:val="ListBullet"/>
      </w:pPr>
      <w:r>
        <w:t>Disponer de credenciales de demostración proporcionadas por el administrador. No se documentan usuarios ni contraseñas reales.</w:t>
      </w:r>
    </w:p>
    <w:p>
      <w:pPr>
        <w:pStyle w:val="ListBullet"/>
      </w:pPr>
      <w:r>
        <w:t>Tener el servidor Django funcionando y la base de datos disponible.</w:t>
      </w:r>
    </w:p>
    <w:p>
      <w:pPr>
        <w:pStyle w:val="ListBullet"/>
      </w:pPr>
      <w:r>
        <w:t>Abrir un navegador actualizado desde el equipo con el servicio local.</w:t>
      </w:r>
    </w:p>
    <w:p>
      <w:pPr>
        <w:pStyle w:val="ListBullet"/>
      </w:pPr>
      <w:r>
        <w:t>Para respuestas de Gemini real, disponer de configuración autorizada; sin clave puede usarse el modo simulado.</w:t>
      </w:r>
    </w:p>
    <w:p>
      <w:pPr>
        <w:pStyle w:val="Heading1"/>
      </w:pPr>
      <w:r>
        <w:t>3. Iniciar sesión</w:t>
      </w:r>
    </w:p>
    <w:p>
      <w:r>
        <w:t>1. Abrir http://127.0.0.1:8000/ cuando el servidor indique que está activo.</w:t>
      </w:r>
    </w:p>
    <w:p>
      <w:r>
        <w:t>2. Localizar el acceso o inicio de sesión disponible en la página inicial.</w:t>
      </w:r>
    </w:p>
    <w:p>
      <w:r>
        <w:t>3. Ingresar las credenciales asignadas y confirmar.</w:t>
      </w:r>
    </w:p>
    <w:p>
      <w:r>
        <w:t>4. Verificar que la pantalla corresponda al rol de la cuenta.</w:t>
      </w:r>
    </w:p>
    <w:p>
      <w:r>
        <w:t>Si la página de acceso no aparece, verificar las rutas registradas en config/urls.py y colegio/urls.py. La URL principal está confirmada como destino de runserver, pero el recorrido interno de login no fue acreditado en la guía fuente.</w:t>
      </w:r>
    </w:p>
    <w:p>
      <w:pPr>
        <w:pStyle w:val="Heading1"/>
      </w:pPr>
      <w:r>
        <w:t>4. Manual del docente: asistente de IA</w:t>
      </w:r>
    </w:p>
    <w:p>
      <w:pPr>
        <w:pStyle w:val="Heading2"/>
      </w:pPr>
      <w:r>
        <w:t>4.1 Generar un borrador de evaluación</w:t>
      </w:r>
    </w:p>
    <w:p>
      <w:r>
        <w:t>1. Entrar con un usuario cuyo rol sea DOCENTE.</w:t>
      </w:r>
    </w:p>
    <w:p>
      <w:r>
        <w:t>2. Abrir la opción de instrumentos/evaluaciones IA de la interfaz disponible.</w:t>
      </w:r>
    </w:p>
    <w:p>
      <w:r>
        <w:t>3. Seleccionar curso, asignatura o carga académica habilitada.</w:t>
      </w:r>
    </w:p>
    <w:p>
      <w:r>
        <w:t>4. Indicar el Objetivo de Aprendizaje (OA), tema, cantidad de preguntas y dificultad.</w:t>
      </w:r>
    </w:p>
    <w:p>
      <w:r>
        <w:t>5. Enviar la solicitud y esperar el borrador.</w:t>
      </w:r>
    </w:p>
    <w:p>
      <w:r>
        <w:t>6. Revisar título, instrucciones, alternativas, clave y pertinencia curricular antes de aprobar.</w:t>
      </w:r>
    </w:p>
    <w:p>
      <w:r>
        <w:t>Resultado esperado según el código: un instrumento en estado BORRADOR, con contenido original de IA y contenido editable. Los nombres exactos de menús y botones se deben cotejar con la interfaz real.</w:t>
      </w:r>
    </w:p>
    <w:p>
      <w:pPr>
        <w:pStyle w:val="Heading2"/>
      </w:pPr>
      <w:r>
        <w:t>4.2 Revisar, editar y aprobar</w:t>
      </w:r>
    </w:p>
    <w:p>
      <w:r>
        <w:t>1. Abrir el instrumento creado desde la lista del docente.</w:t>
      </w:r>
    </w:p>
    <w:p>
      <w:r>
        <w:t>2. Editar el contenido si encuentra errores o requiere adecuación pedagógica.</w:t>
      </w:r>
    </w:p>
    <w:p>
      <w:r>
        <w:t>3. Revisar de nuevo objetivos, preguntas y respuestas.</w:t>
      </w:r>
    </w:p>
    <w:p>
      <w:r>
        <w:t>4. Usar la acción de aprobación disponible solo cuando el contenido esté listo.</w:t>
      </w:r>
    </w:p>
    <w:p>
      <w:r>
        <w:t>5. Confirmar que el estado cambió y que la versión aprobada se conservó.</w:t>
      </w:r>
    </w:p>
    <w:p>
      <w:r>
        <w:t>El código registra contenido original y contenido editado y calcula un porcentaje de modificación textual mediante similitud. No equivale a medir errores pedagógicos. La transición de aprobación debe comprobarse con una prueba real.</w:t>
      </w:r>
    </w:p>
    <w:p>
      <w:pPr>
        <w:pStyle w:val="Heading2"/>
      </w:pPr>
      <w:r>
        <w:t>4.3 Rúbricas y material</w:t>
      </w:r>
    </w:p>
    <w:p>
      <w:r>
        <w:t>La capa de asistentes contempla funciones para crear rúbricas según OA, actividad, criterios y niveles de logro, además de material pedagógico. Su disponibilidad como opciones visibles depende de las rutas efectivamente habilitadas.</w:t>
      </w:r>
    </w:p>
    <w:p>
      <w:pPr>
        <w:pStyle w:val="Heading1"/>
      </w:pPr>
      <w:r>
        <w:t>5. Manual del estudiante: tutor escolar</w:t>
      </w:r>
    </w:p>
    <w:p>
      <w:r>
        <w:t>1. Iniciar sesión con una cuenta con acceso al tutor.</w:t>
      </w:r>
    </w:p>
    <w:p>
      <w:r>
        <w:t>2. Ingresar a la opción de tutor desde el portal si está habilitada.</w:t>
      </w:r>
    </w:p>
    <w:p>
      <w:r>
        <w:t>3. Escribir una consulta concreta relacionada con la asignatura o un concepto.</w:t>
      </w:r>
    </w:p>
    <w:p>
      <w:r>
        <w:t>4. Leer las pistas y ejemplos propuestos.</w:t>
      </w:r>
    </w:p>
    <w:p>
      <w:r>
        <w:t>5. Si se muestran fuentes, comprobar el documento y la página antes de usar la información para estudiar.</w:t>
      </w:r>
    </w:p>
    <w:p>
      <w:r>
        <w:t>Ejemplo de consulta de prueba: «¿Qué son los números enteros? Dame una explicación y un ejemplo». El tutor en la guía original conversa mediante Gemini o simulación, mientras que la recuperación RAG independiente aún necesita integración demostrable en interfaz.</w:t>
      </w:r>
    </w:p>
    <w:p>
      <w:pPr>
        <w:pStyle w:val="Heading1"/>
      </w:pPr>
      <w:r>
        <w:t>6. Interpretar el resultado de la IA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  <w:vAlign w:val="center"/>
          </w:tcPr>
          <w:p>
            <w:r>
              <w:t>Situación</w:t>
            </w:r>
          </w:p>
        </w:tc>
        <w:tc>
          <w:tcPr>
            <w:tcW w:type="dxa" w:w="4867"/>
            <w:vAlign w:val="center"/>
          </w:tcPr>
          <w:p>
            <w:r>
              <w:t>Qué hacer</w:t>
            </w:r>
          </w:p>
        </w:tc>
      </w:tr>
      <w:tr>
        <w:tc>
          <w:tcPr>
            <w:tcW w:type="dxa" w:w="4867"/>
            <w:vAlign w:val="center"/>
          </w:tcPr>
          <w:p>
            <w:r>
              <w:t>Respuesta de borrador</w:t>
            </w:r>
          </w:p>
        </w:tc>
        <w:tc>
          <w:tcPr>
            <w:tcW w:type="dxa" w:w="4867"/>
            <w:vAlign w:val="center"/>
          </w:tcPr>
          <w:p>
            <w:r>
              <w:t>Revisar; no usar automáticamente en clase</w:t>
            </w:r>
          </w:p>
        </w:tc>
      </w:tr>
      <w:tr>
        <w:tc>
          <w:tcPr>
            <w:tcW w:type="dxa" w:w="4867"/>
            <w:vAlign w:val="center"/>
          </w:tcPr>
          <w:p>
            <w:r>
              <w:t>Fuente de documento visible</w:t>
            </w:r>
          </w:p>
        </w:tc>
        <w:tc>
          <w:tcPr>
            <w:tcW w:type="dxa" w:w="4867"/>
            <w:vAlign w:val="center"/>
          </w:tcPr>
          <w:p>
            <w:r>
              <w:t>Contrastar página y contenido recuperado</w:t>
            </w:r>
          </w:p>
        </w:tc>
      </w:tr>
      <w:tr>
        <w:tc>
          <w:tcPr>
            <w:tcW w:type="dxa" w:w="4867"/>
            <w:vAlign w:val="center"/>
          </w:tcPr>
          <w:p>
            <w:r>
              <w:t>Respuesta sin fuentes</w:t>
            </w:r>
          </w:p>
        </w:tc>
        <w:tc>
          <w:tcPr>
            <w:tcW w:type="dxa" w:w="4867"/>
            <w:vAlign w:val="center"/>
          </w:tcPr>
          <w:p>
            <w:r>
              <w:t>No presentarla como verificada por RAG</w:t>
            </w:r>
          </w:p>
        </w:tc>
      </w:tr>
      <w:tr>
        <w:tc>
          <w:tcPr>
            <w:tcW w:type="dxa" w:w="4867"/>
            <w:vAlign w:val="center"/>
          </w:tcPr>
          <w:p>
            <w:r>
              <w:t>Datos numéricos académicos</w:t>
            </w:r>
          </w:p>
        </w:tc>
        <w:tc>
          <w:tcPr>
            <w:tcW w:type="dxa" w:w="4867"/>
            <w:vAlign w:val="center"/>
          </w:tcPr>
          <w:p>
            <w:r>
              <w:t>Confirmar con registros calculados por el sistema</w:t>
            </w:r>
          </w:p>
        </w:tc>
      </w:tr>
      <w:tr>
        <w:tc>
          <w:tcPr>
            <w:tcW w:type="dxa" w:w="4867"/>
            <w:vAlign w:val="center"/>
          </w:tcPr>
          <w:p>
            <w:r>
              <w:t>Respuesta insuficiente</w:t>
            </w:r>
          </w:p>
        </w:tc>
        <w:tc>
          <w:tcPr>
            <w:tcW w:type="dxa" w:w="4867"/>
            <w:vAlign w:val="center"/>
          </w:tcPr>
          <w:p>
            <w:r>
              <w:t>Reformular pregunta y solicitar material autorizado</w:t>
            </w:r>
          </w:p>
        </w:tc>
      </w:tr>
    </w:tbl>
    <w:p>
      <w:pPr>
        <w:pStyle w:val="Heading1"/>
      </w:pPr>
      <w:r>
        <w:t>7. Manual del operador técnico (arranque diario)</w:t>
      </w:r>
    </w:p>
    <w:p>
      <w:r>
        <w:t>Estos pasos son para quien administra el entorno de desarrollo, no para estudiantes ni docentes.</w:t>
      </w:r>
    </w:p>
    <w:p>
      <w:pPr>
        <w:pStyle w:val="Heading2"/>
      </w:pPr>
      <w:r>
        <w:t>1. Abrir Docker Desktop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docker version</w:t>
      </w:r>
    </w:p>
    <w:p>
      <w:pPr>
        <w:pStyle w:val="Heading2"/>
      </w:pPr>
      <w:r>
        <w:t>2. Levantar PostgreSQL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docker compose up -d db</w:t>
      </w:r>
    </w:p>
    <w:p>
      <w:pPr>
        <w:pStyle w:val="Heading2"/>
      </w:pPr>
      <w:r>
        <w:t>3. Confirmar estado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docker compose ps</w:t>
      </w:r>
    </w:p>
    <w:p>
      <w:pPr>
        <w:pStyle w:val="Heading2"/>
      </w:pPr>
      <w:r>
        <w:t>4. Iniciar Django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.\.venv\Scripts\python.exe manage.py runserver</w:t>
      </w:r>
    </w:p>
    <w:p>
      <w:pPr>
        <w:pStyle w:val="Heading2"/>
      </w:pPr>
      <w:r>
        <w:t>5. Entrar al portal</w:t>
      </w:r>
    </w:p>
    <w:p>
      <w:pPr>
        <w:ind w:left="288"/>
      </w:pPr>
      <w:r>
        <w:rPr>
          <w:rFonts w:ascii="Consolas" w:hAnsi="Consolas"/>
          <w:color w:val="236796"/>
          <w:sz w:val="16"/>
        </w:rPr>
        <w:t>http://127.0.0.1:8000/</w:t>
      </w:r>
    </w:p>
    <w:p>
      <w:r>
        <w:t>Para cerrar una sesión, detener el servidor Django con Ctrl+C. El contenedor puede detenerse con docker compose stop db. No eliminar volúmenes como parte de un cierre normal.</w:t>
      </w:r>
    </w:p>
    <w:p>
      <w:pPr>
        <w:pStyle w:val="Heading1"/>
      </w:pPr>
      <w:r>
        <w:t>8. Resolución de problemas frecuentes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  <w:vAlign w:val="center"/>
          </w:tcPr>
          <w:p>
            <w:r>
              <w:t>Problema</w:t>
            </w:r>
          </w:p>
        </w:tc>
        <w:tc>
          <w:tcPr>
            <w:tcW w:type="dxa" w:w="4867"/>
            <w:vAlign w:val="center"/>
          </w:tcPr>
          <w:p>
            <w:r>
              <w:t>Qué debe hacer el usuario</w:t>
            </w:r>
          </w:p>
        </w:tc>
      </w:tr>
      <w:tr>
        <w:tc>
          <w:tcPr>
            <w:tcW w:type="dxa" w:w="4867"/>
            <w:vAlign w:val="center"/>
          </w:tcPr>
          <w:p>
            <w:r>
              <w:t>No abre el portal</w:t>
            </w:r>
          </w:p>
        </w:tc>
        <w:tc>
          <w:tcPr>
            <w:tcW w:type="dxa" w:w="4867"/>
            <w:vAlign w:val="center"/>
          </w:tcPr>
          <w:p>
            <w:r>
              <w:t>Pedir al operador confirmar runserver y puerto</w:t>
            </w:r>
          </w:p>
        </w:tc>
      </w:tr>
      <w:tr>
        <w:tc>
          <w:tcPr>
            <w:tcW w:type="dxa" w:w="4867"/>
            <w:vAlign w:val="center"/>
          </w:tcPr>
          <w:p>
            <w:r>
              <w:t>No tiene acceso a una función</w:t>
            </w:r>
          </w:p>
        </w:tc>
        <w:tc>
          <w:tcPr>
            <w:tcW w:type="dxa" w:w="4867"/>
            <w:vAlign w:val="center"/>
          </w:tcPr>
          <w:p>
            <w:r>
              <w:t>Comprobar el rol con el administrador</w:t>
            </w:r>
          </w:p>
        </w:tc>
      </w:tr>
      <w:tr>
        <w:tc>
          <w:tcPr>
            <w:tcW w:type="dxa" w:w="4867"/>
            <w:vAlign w:val="center"/>
          </w:tcPr>
          <w:p>
            <w:r>
              <w:t>El asistente no responde</w:t>
            </w:r>
          </w:p>
        </w:tc>
        <w:tc>
          <w:tcPr>
            <w:tcW w:type="dxa" w:w="4867"/>
            <w:vAlign w:val="center"/>
          </w:tcPr>
          <w:p>
            <w:r>
              <w:t>Reportar mensaje exacto y hora; revisar modo IA</w:t>
            </w:r>
          </w:p>
        </w:tc>
      </w:tr>
      <w:tr>
        <w:tc>
          <w:tcPr>
            <w:tcW w:type="dxa" w:w="4867"/>
            <w:vAlign w:val="center"/>
          </w:tcPr>
          <w:p>
            <w:r>
              <w:t>Respuestas repetidas o de ejemplo</w:t>
            </w:r>
          </w:p>
        </w:tc>
        <w:tc>
          <w:tcPr>
            <w:tcW w:type="dxa" w:w="4867"/>
            <w:vAlign w:val="center"/>
          </w:tcPr>
          <w:p>
            <w:r>
              <w:t>Confirmar si está activo modo simulado</w:t>
            </w:r>
          </w:p>
        </w:tc>
      </w:tr>
      <w:tr>
        <w:tc>
          <w:tcPr>
            <w:tcW w:type="dxa" w:w="4867"/>
            <w:vAlign w:val="center"/>
          </w:tcPr>
          <w:p>
            <w:r>
              <w:t>Error de cuota o servicio</w:t>
            </w:r>
          </w:p>
        </w:tc>
        <w:tc>
          <w:tcPr>
            <w:tcW w:type="dxa" w:w="4867"/>
            <w:vAlign w:val="center"/>
          </w:tcPr>
          <w:p>
            <w:r>
              <w:t>Esperar y reintentar según indicación del operador</w:t>
            </w:r>
          </w:p>
        </w:tc>
      </w:tr>
      <w:tr>
        <w:tc>
          <w:tcPr>
            <w:tcW w:type="dxa" w:w="4867"/>
            <w:vAlign w:val="center"/>
          </w:tcPr>
          <w:p>
            <w:r>
              <w:t>No aparecen fuentes RAG</w:t>
            </w:r>
          </w:p>
        </w:tc>
        <w:tc>
          <w:tcPr>
            <w:tcW w:type="dxa" w:w="4867"/>
            <w:vAlign w:val="center"/>
          </w:tcPr>
          <w:p>
            <w:r>
              <w:t>Consultar si la integración ya está habilitada</w:t>
            </w:r>
          </w:p>
        </w:tc>
      </w:tr>
    </w:tbl>
    <w:p>
      <w:pPr>
        <w:pStyle w:val="Heading1"/>
      </w:pPr>
      <w:r>
        <w:t>9. Buenas prácticas de uso</w:t>
      </w:r>
    </w:p>
    <w:p>
      <w:pPr>
        <w:pStyle w:val="ListBullet"/>
      </w:pPr>
      <w:r>
        <w:t>No introducir RUT, nombres ni otros datos personales de estudiantes en consultas IA.</w:t>
      </w:r>
    </w:p>
    <w:p>
      <w:pPr>
        <w:pStyle w:val="ListBullet"/>
      </w:pPr>
      <w:r>
        <w:t>Revisar siempre el material generado antes de utilizarlo o compartirlo.</w:t>
      </w:r>
    </w:p>
    <w:p>
      <w:pPr>
        <w:pStyle w:val="ListBullet"/>
      </w:pPr>
      <w:r>
        <w:t>Utilizar preguntas específicas; indicar asignatura y nivel cuando corresponda.</w:t>
      </w:r>
    </w:p>
    <w:p>
      <w:pPr>
        <w:pStyle w:val="ListBullet"/>
      </w:pPr>
      <w:r>
        <w:t>No interpretar el contenido de un chatbot como registro oficial de notas o asistencia.</w:t>
      </w:r>
    </w:p>
    <w:p>
      <w:pPr>
        <w:pStyle w:val="ListBullet"/>
      </w:pPr>
      <w:r>
        <w:t>Reportar errores indicando el contexto, sin adjuntar información sensible.</w:t>
      </w:r>
    </w:p>
    <w:p>
      <w:pPr>
        <w:pStyle w:val="Heading1"/>
      </w:pPr>
      <w:r>
        <w:t>10. Lista de verificación para demostración</w:t>
      </w:r>
    </w:p>
    <w:p>
      <w:pPr>
        <w:pStyle w:val="ListBullet"/>
      </w:pPr>
      <w:r>
        <w:t>☐  Base PostgreSQL disponible</w:t>
      </w:r>
    </w:p>
    <w:p>
      <w:pPr>
        <w:pStyle w:val="ListBullet"/>
      </w:pPr>
      <w:r>
        <w:t>☐  Django accesible en navegador</w:t>
      </w:r>
    </w:p>
    <w:p>
      <w:pPr>
        <w:pStyle w:val="ListBullet"/>
      </w:pPr>
      <w:r>
        <w:t>☐  Inicio de sesión por rol probado</w:t>
      </w:r>
    </w:p>
    <w:p>
      <w:pPr>
        <w:pStyle w:val="ListBullet"/>
      </w:pPr>
      <w:r>
        <w:t>☐  Docente genera borrador de prueba</w:t>
      </w:r>
    </w:p>
    <w:p>
      <w:pPr>
        <w:pStyle w:val="ListBullet"/>
      </w:pPr>
      <w:r>
        <w:t>☐  Docente edita y aprueba borrador</w:t>
      </w:r>
    </w:p>
    <w:p>
      <w:pPr>
        <w:pStyle w:val="ListBullet"/>
      </w:pPr>
      <w:r>
        <w:t>☐  Tutor responde pregunta de ejemplo</w:t>
      </w:r>
    </w:p>
    <w:p>
      <w:pPr>
        <w:pStyle w:val="ListBullet"/>
      </w:pPr>
      <w:r>
        <w:t>☐  Tutor muestra referencias documentales verificables (cuando se integre RAG)</w:t>
      </w:r>
    </w:p>
    <w:p>
      <w:pPr>
        <w:pStyle w:val="ListBullet"/>
      </w:pPr>
      <w:r>
        <w:t>☐  Se documentan los casos de error y sus resultados</w:t>
      </w:r>
    </w:p>
    <w:p>
      <w:r>
        <w:t>Las casillas son criterios de verificación y no indican pruebas superadas. Se recomienda capturar pantallas reales y reemplazar las descripciones genéricas de botones cuando la interfaz final quede estabilizada.</w:t>
      </w:r>
    </w:p>
    <w:p>
      <w:pPr>
        <w:pStyle w:val="Heading1"/>
      </w:pPr>
      <w:r>
        <w:t>Anexo. Glosario breve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67"/>
        <w:gridCol w:w="4867"/>
      </w:tblGrid>
      <w:tr>
        <w:tc>
          <w:tcPr>
            <w:tcW w:type="dxa" w:w="4867"/>
            <w:vAlign w:val="center"/>
          </w:tcPr>
          <w:p>
            <w:r>
              <w:t>Término</w:t>
            </w:r>
          </w:p>
        </w:tc>
        <w:tc>
          <w:tcPr>
            <w:tcW w:type="dxa" w:w="4867"/>
            <w:vAlign w:val="center"/>
          </w:tcPr>
          <w:p>
            <w:r>
              <w:t>Significado</w:t>
            </w:r>
          </w:p>
        </w:tc>
      </w:tr>
      <w:tr>
        <w:tc>
          <w:tcPr>
            <w:tcW w:type="dxa" w:w="4867"/>
            <w:vAlign w:val="center"/>
          </w:tcPr>
          <w:p>
            <w:r>
              <w:t>OA</w:t>
            </w:r>
          </w:p>
        </w:tc>
        <w:tc>
          <w:tcPr>
            <w:tcW w:type="dxa" w:w="4867"/>
            <w:vAlign w:val="center"/>
          </w:tcPr>
          <w:p>
            <w:r>
              <w:t>Objetivo de Aprendizaje</w:t>
            </w:r>
          </w:p>
        </w:tc>
      </w:tr>
      <w:tr>
        <w:tc>
          <w:tcPr>
            <w:tcW w:type="dxa" w:w="4867"/>
            <w:vAlign w:val="center"/>
          </w:tcPr>
          <w:p>
            <w:r>
              <w:t>RAG</w:t>
            </w:r>
          </w:p>
        </w:tc>
        <w:tc>
          <w:tcPr>
            <w:tcW w:type="dxa" w:w="4867"/>
            <w:vAlign w:val="center"/>
          </w:tcPr>
          <w:p>
            <w:r>
              <w:t>Generación aumentada por recuperación documental</w:t>
            </w:r>
          </w:p>
        </w:tc>
      </w:tr>
      <w:tr>
        <w:tc>
          <w:tcPr>
            <w:tcW w:type="dxa" w:w="4867"/>
            <w:vAlign w:val="center"/>
          </w:tcPr>
          <w:p>
            <w:r>
              <w:t>Chunk</w:t>
            </w:r>
          </w:p>
        </w:tc>
        <w:tc>
          <w:tcPr>
            <w:tcW w:type="dxa" w:w="4867"/>
            <w:vAlign w:val="center"/>
          </w:tcPr>
          <w:p>
            <w:r>
              <w:t>Fragmento de un documento</w:t>
            </w:r>
          </w:p>
        </w:tc>
      </w:tr>
      <w:tr>
        <w:tc>
          <w:tcPr>
            <w:tcW w:type="dxa" w:w="4867"/>
            <w:vAlign w:val="center"/>
          </w:tcPr>
          <w:p>
            <w:r>
              <w:t>Gemini</w:t>
            </w:r>
          </w:p>
        </w:tc>
        <w:tc>
          <w:tcPr>
            <w:tcW w:type="dxa" w:w="4867"/>
            <w:vAlign w:val="center"/>
          </w:tcPr>
          <w:p>
            <w:r>
              <w:t>Servicio de IA utilizado por el proveedor del proyecto</w:t>
            </w:r>
          </w:p>
        </w:tc>
      </w:tr>
      <w:tr>
        <w:tc>
          <w:tcPr>
            <w:tcW w:type="dxa" w:w="4867"/>
            <w:vAlign w:val="center"/>
          </w:tcPr>
          <w:p>
            <w:r>
              <w:t>Modo simulado</w:t>
            </w:r>
          </w:p>
        </w:tc>
        <w:tc>
          <w:tcPr>
            <w:tcW w:type="dxa" w:w="4867"/>
            <w:vAlign w:val="center"/>
          </w:tcPr>
          <w:p>
            <w:r>
              <w:t>Respuesta de prueba sin llamada real al modelo</w:t>
            </w:r>
          </w:p>
        </w:tc>
      </w:tr>
      <w:tr>
        <w:tc>
          <w:tcPr>
            <w:tcW w:type="dxa" w:w="4867"/>
            <w:vAlign w:val="center"/>
          </w:tcPr>
          <w:p>
            <w:r>
              <w:t>Sprint</w:t>
            </w:r>
          </w:p>
        </w:tc>
        <w:tc>
          <w:tcPr>
            <w:tcW w:type="dxa" w:w="4867"/>
            <w:vAlign w:val="center"/>
          </w:tcPr>
          <w:p>
            <w:r>
              <w:t>Período de trabajo ágil con entregables revisables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53" w:bottom="1080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MAN-USR  •  v2.0  |  13-10-2026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236796"/>
      </w:rPr>
      <w:t>EDUGESTOR  /  DOCUMENTACIÓN CONTROLADA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835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8355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8355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 w:before="260"/>
      <w:contextualSpacing/>
    </w:pPr>
    <w:rPr>
      <w:rFonts w:asciiTheme="majorHAnsi" w:eastAsiaTheme="majorEastAsia" w:hAnsiTheme="majorHAnsi" w:cstheme="majorBidi" w:ascii="Aptos Display" w:hAnsi="Aptos Display"/>
      <w:b/>
      <w:color w:val="18355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