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rPr>
      </w:pPr>
      <w:bookmarkStart w:colFirst="0" w:colLast="0" w:name="_3511fsnoy9n5" w:id="0"/>
      <w:bookmarkEnd w:id="0"/>
      <w:r w:rsidDel="00000000" w:rsidR="00000000" w:rsidRPr="00000000">
        <w:rPr>
          <w:rtl w:val="0"/>
        </w:rPr>
        <w:t xml:space="preserve">DinerSystem</w:t>
      </w:r>
      <w:r w:rsidDel="00000000" w:rsidR="00000000" w:rsidRPr="00000000">
        <w:rPr>
          <w:rtl w:val="0"/>
        </w:rPr>
      </w:r>
    </w:p>
    <w:p w:rsidR="00000000" w:rsidDel="00000000" w:rsidP="00000000" w:rsidRDefault="00000000" w:rsidRPr="00000000" w14:paraId="00000001">
      <w:pPr>
        <w:contextualSpacing w:val="0"/>
        <w:rPr>
          <w:sz w:val="36"/>
          <w:szCs w:val="36"/>
        </w:rPr>
      </w:pPr>
      <w:r w:rsidDel="00000000" w:rsidR="00000000" w:rsidRPr="00000000">
        <w:rPr>
          <w:sz w:val="36"/>
          <w:szCs w:val="36"/>
          <w:rtl w:val="0"/>
        </w:rPr>
        <w:t xml:space="preserve">Estándares de programación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Se manejara una pequeña descripción al inicio del codigo donde se explique brevemente la funcionalidad del mismo.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Antes de una función se deberá realizar un bloque de comentarios en el que se determine la utilidad de la funcion, que parametros recibira la función con el “@param” y en caso de que se deba devolver un valor, se indicará que valor será regresado al main o a la función según sea el caso con el “@return”.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Todos los bloques deberán de estar debidamente indentados al principio y al final del bloque con el uso de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Dentro del bloque “main” se deberá de identificar “las lecturas, procedimiento y las salidas” a través de comentarios en el código.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Todas las variables son inicializadas en el bloque “main” con únicas excepciones las variables que sean requeridas de forma local en una función, en dicho caso deberán de ser inicializadas dentro del bloque de la función.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Todas las variables deben de ser nombradas empezando con una letra minúscula y en caso de ser más de una palabra todas las demás palabras deberán de ser escritas con la primera letra escrita en mayúsculas, a su vez deberán de ser nombradas dandole un contexto a la variable y deberán de ser sustantivos.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En el caso de ser necesaria una biblioteca se le añadirá un bloque de comentarios donde se indique las funciones que se están utilizando de dicha biblioteca y la razón de su uso.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